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953" w:rsidRDefault="00B76953" w:rsidP="000F38B0">
      <w:pPr>
        <w:jc w:val="center"/>
        <w:rPr>
          <w:rFonts w:ascii="方正小标宋_GBK" w:eastAsia="方正小标宋_GBK" w:hAnsi="宋体" w:cs="Arial"/>
          <w:bCs/>
          <w:color w:val="000000"/>
          <w:kern w:val="0"/>
          <w:sz w:val="44"/>
          <w:szCs w:val="44"/>
        </w:rPr>
      </w:pPr>
    </w:p>
    <w:p w:rsidR="00B76953" w:rsidRDefault="00B76953" w:rsidP="000F38B0">
      <w:pPr>
        <w:jc w:val="center"/>
        <w:rPr>
          <w:rFonts w:ascii="方正小标宋_GBK" w:eastAsia="方正小标宋_GBK" w:hAnsi="宋体" w:cs="Arial"/>
          <w:bCs/>
          <w:color w:val="000000"/>
          <w:kern w:val="0"/>
          <w:sz w:val="44"/>
          <w:szCs w:val="44"/>
        </w:rPr>
      </w:pPr>
      <w:bookmarkStart w:id="0" w:name="_GoBack"/>
      <w:bookmarkEnd w:id="0"/>
    </w:p>
    <w:p w:rsidR="000F38B0" w:rsidRPr="000F38B0" w:rsidRDefault="000F38B0" w:rsidP="000F38B0">
      <w:pPr>
        <w:jc w:val="center"/>
        <w:rPr>
          <w:rFonts w:ascii="方正小标宋_GBK" w:eastAsia="方正小标宋_GBK" w:hAnsi="Arial" w:cs="Arial"/>
          <w:color w:val="000000"/>
          <w:kern w:val="0"/>
          <w:sz w:val="44"/>
          <w:szCs w:val="44"/>
        </w:rPr>
      </w:pPr>
      <w:r w:rsidRPr="000F38B0">
        <w:rPr>
          <w:rFonts w:ascii="方正小标宋_GBK" w:eastAsia="方正小标宋_GBK" w:hAnsi="宋体" w:cs="Arial" w:hint="eastAsia"/>
          <w:bCs/>
          <w:color w:val="000000"/>
          <w:kern w:val="0"/>
          <w:sz w:val="44"/>
          <w:szCs w:val="44"/>
        </w:rPr>
        <w:t>重庆市人民政府办公厅</w:t>
      </w:r>
    </w:p>
    <w:p w:rsidR="000F38B0" w:rsidRPr="000F38B0" w:rsidRDefault="000F38B0" w:rsidP="000F38B0">
      <w:pPr>
        <w:jc w:val="center"/>
        <w:rPr>
          <w:rFonts w:ascii="方正小标宋_GBK" w:eastAsia="方正小标宋_GBK" w:hAnsi="Arial" w:cs="Arial"/>
          <w:color w:val="000000"/>
          <w:kern w:val="0"/>
          <w:sz w:val="44"/>
          <w:szCs w:val="44"/>
        </w:rPr>
      </w:pPr>
      <w:r w:rsidRPr="000F38B0">
        <w:rPr>
          <w:rFonts w:ascii="方正小标宋_GBK" w:eastAsia="方正小标宋_GBK" w:hAnsi="宋体" w:cs="Arial" w:hint="eastAsia"/>
          <w:bCs/>
          <w:color w:val="000000"/>
          <w:kern w:val="0"/>
          <w:sz w:val="44"/>
          <w:szCs w:val="44"/>
        </w:rPr>
        <w:t>关于进一步提升企业开办便利度的通知</w:t>
      </w:r>
    </w:p>
    <w:p w:rsidR="000F38B0" w:rsidRPr="000F38B0" w:rsidRDefault="000F38B0" w:rsidP="000F38B0">
      <w:pPr>
        <w:jc w:val="center"/>
        <w:rPr>
          <w:rFonts w:ascii="方正楷体_GBK" w:eastAsia="方正楷体_GBK" w:hAnsi="Arial" w:cs="Arial"/>
          <w:color w:val="000000"/>
          <w:kern w:val="0"/>
          <w:sz w:val="32"/>
          <w:szCs w:val="32"/>
        </w:rPr>
      </w:pPr>
      <w:r w:rsidRPr="000F38B0">
        <w:rPr>
          <w:rFonts w:ascii="方正楷体_GBK" w:eastAsia="方正楷体_GBK" w:hAnsi="宋体" w:cs="Arial" w:hint="eastAsia"/>
          <w:color w:val="000000"/>
          <w:kern w:val="0"/>
          <w:sz w:val="32"/>
          <w:szCs w:val="32"/>
        </w:rPr>
        <w:t>渝府办发〔2019〕5号</w:t>
      </w:r>
    </w:p>
    <w:p w:rsidR="000F38B0" w:rsidRPr="000F38B0" w:rsidRDefault="000F38B0" w:rsidP="000F38B0">
      <w:pPr>
        <w:rPr>
          <w:rFonts w:ascii="方正仿宋_GBK" w:eastAsia="方正仿宋_GBK" w:hAnsi="Arial" w:cs="Arial"/>
          <w:color w:val="000000"/>
          <w:kern w:val="0"/>
          <w:sz w:val="32"/>
          <w:szCs w:val="32"/>
        </w:rPr>
      </w:pPr>
    </w:p>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各区县（自治县）人民政府，市级有关部门，有关单位：</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为深入推进“放管服”改革，进一步优化我市营商环境，提升企业开办便利度，根据国务院第五次大督查有关要求，结合我市实际，经市政府同意，现就进一步提升我市企业开办便利度有关事项通知如下：</w:t>
      </w:r>
    </w:p>
    <w:p w:rsidR="000F38B0" w:rsidRPr="000F38B0" w:rsidRDefault="000F38B0" w:rsidP="00B76953">
      <w:pPr>
        <w:ind w:firstLineChars="200" w:firstLine="640"/>
        <w:rPr>
          <w:rFonts w:ascii="方正黑体_GBK" w:eastAsia="方正黑体_GBK" w:hAnsi="Arial" w:cs="Arial"/>
          <w:color w:val="000000"/>
          <w:kern w:val="0"/>
          <w:sz w:val="32"/>
          <w:szCs w:val="32"/>
        </w:rPr>
      </w:pPr>
      <w:r w:rsidRPr="000F38B0">
        <w:rPr>
          <w:rFonts w:ascii="方正黑体_GBK" w:eastAsia="方正黑体_GBK" w:hAnsi="宋体" w:cs="Arial" w:hint="eastAsia"/>
          <w:bCs/>
          <w:color w:val="000000"/>
          <w:kern w:val="0"/>
          <w:sz w:val="32"/>
          <w:szCs w:val="32"/>
        </w:rPr>
        <w:t>一、减少企业开办环节</w:t>
      </w:r>
    </w:p>
    <w:p w:rsidR="00B76953" w:rsidRDefault="000F38B0" w:rsidP="00B76953">
      <w:pPr>
        <w:ind w:firstLineChars="200" w:firstLine="640"/>
        <w:rPr>
          <w:rFonts w:ascii="方正楷体_GBK" w:eastAsia="方正楷体_GBK" w:hAnsi="宋体" w:cs="Arial"/>
          <w:bCs/>
          <w:color w:val="000000"/>
          <w:kern w:val="0"/>
          <w:sz w:val="32"/>
          <w:szCs w:val="32"/>
        </w:rPr>
      </w:pPr>
      <w:r w:rsidRPr="00B76953">
        <w:rPr>
          <w:rFonts w:ascii="方正楷体_GBK" w:eastAsia="方正楷体_GBK" w:hAnsi="宋体" w:cs="Arial" w:hint="eastAsia"/>
          <w:bCs/>
          <w:color w:val="000000"/>
          <w:kern w:val="0"/>
          <w:sz w:val="32"/>
          <w:szCs w:val="32"/>
        </w:rPr>
        <w:t>（一）推行“并联办理”。</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对企业开办涉及的名称预核准、设立登记及发放营业执照、公章刻制备案等实行并联办理，整合为一个环节；对信息确认和税种核定、申领发票等实行并联办理，整合为一个环节。实行并联办理后，申请人开办企业涉及市场监管、公安、税务、银行等部门和单位的名称预核准、设立登记及发放营业执照、公章刻制备案、信息确认和税种核定、申领发票、银行开户等整合为办理营业执照、申领发票、银行开户3个环节。</w:t>
      </w:r>
      <w:r w:rsidRPr="000F38B0">
        <w:rPr>
          <w:rFonts w:ascii="方正仿宋_GBK" w:eastAsia="方正仿宋_GBK" w:hAnsi="宋体" w:cs="Arial" w:hint="eastAsia"/>
          <w:b/>
          <w:bCs/>
          <w:color w:val="000000"/>
          <w:kern w:val="0"/>
          <w:sz w:val="32"/>
          <w:szCs w:val="32"/>
        </w:rPr>
        <w:lastRenderedPageBreak/>
        <w:t>（责任单位：市市场监管局、市公安局、重庆市税务局、人行重庆营管部，相关商业银行；完成时限：2019年1月31日）</w:t>
      </w:r>
    </w:p>
    <w:p w:rsidR="000F38B0" w:rsidRPr="00B76953" w:rsidRDefault="000F38B0" w:rsidP="00B76953">
      <w:pPr>
        <w:ind w:firstLineChars="200" w:firstLine="640"/>
        <w:rPr>
          <w:rFonts w:ascii="方正楷体_GBK" w:eastAsia="方正楷体_GBK" w:hAnsi="宋体" w:cs="Arial"/>
          <w:bCs/>
          <w:color w:val="000000"/>
          <w:kern w:val="0"/>
          <w:sz w:val="32"/>
          <w:szCs w:val="32"/>
        </w:rPr>
      </w:pPr>
      <w:r w:rsidRPr="00B76953">
        <w:rPr>
          <w:rFonts w:ascii="方正楷体_GBK" w:eastAsia="方正楷体_GBK" w:hAnsi="宋体" w:cs="Arial" w:hint="eastAsia"/>
          <w:bCs/>
          <w:color w:val="000000"/>
          <w:kern w:val="0"/>
          <w:sz w:val="32"/>
          <w:szCs w:val="32"/>
        </w:rPr>
        <w:t>（二）开设综合受理窗口。</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在各区县（自治县，以下简称区县）行政服务大厅设立企业开办综合受理窗口，一次性收取企业开办所需材料，各有关部门并联办理，实现企业开办“一窗受理、并联办理”，减少企业往返跑路。进驻行政服务大厅的部门和单位，要合理调整窗口布局和功能融合，保证各开办环节有序衔接。对尚未进驻大厅的部门和单位，要积极协调，为其入驻创造条件，因特殊原因不能整体入驻的，要在大厅提供企业开办相关服务。</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企业开办涉及的各部门和单位要向综合受理窗口增派业务技能强、综合素质高的干部，提高业务办理能力；行政服务大厅要强化专项经费保障，配齐必要办公设备，做好保障服务，提高政务服务效能，避免综合受理窗口出现排长队等现象。</w:t>
      </w:r>
      <w:r w:rsidRPr="000F38B0">
        <w:rPr>
          <w:rFonts w:ascii="方正仿宋_GBK" w:eastAsia="方正仿宋_GBK" w:hAnsi="宋体" w:cs="Arial" w:hint="eastAsia"/>
          <w:b/>
          <w:bCs/>
          <w:color w:val="000000"/>
          <w:kern w:val="0"/>
          <w:sz w:val="32"/>
          <w:szCs w:val="32"/>
        </w:rPr>
        <w:t>（责任单位：各区县政府，相关商业银行；完成时限：2019年1月31日）</w:t>
      </w:r>
    </w:p>
    <w:p w:rsidR="000F38B0" w:rsidRPr="00B76953" w:rsidRDefault="000F38B0" w:rsidP="00B76953">
      <w:pPr>
        <w:ind w:firstLineChars="200" w:firstLine="640"/>
        <w:rPr>
          <w:rFonts w:ascii="方正楷体_GBK" w:eastAsia="方正楷体_GBK" w:hAnsi="宋体" w:cs="Arial"/>
          <w:bCs/>
          <w:color w:val="000000"/>
          <w:kern w:val="0"/>
          <w:sz w:val="32"/>
          <w:szCs w:val="32"/>
        </w:rPr>
      </w:pPr>
      <w:r w:rsidRPr="00B76953">
        <w:rPr>
          <w:rFonts w:ascii="方正楷体_GBK" w:eastAsia="方正楷体_GBK" w:hAnsi="宋体" w:cs="Arial" w:hint="eastAsia"/>
          <w:bCs/>
          <w:color w:val="000000"/>
          <w:kern w:val="0"/>
          <w:sz w:val="32"/>
          <w:szCs w:val="32"/>
        </w:rPr>
        <w:t>（三）建设网上服务平台。</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在市政府网审平台（重庆市网上办事大厅）建设企业开办网上服务平台，申请人登录平台后，即可一次性同时申办营业执照、申领发票、银行开户等相关事项。市场监管部门核准企</w:t>
      </w:r>
      <w:r w:rsidRPr="000F38B0">
        <w:rPr>
          <w:rFonts w:ascii="方正仿宋_GBK" w:eastAsia="方正仿宋_GBK" w:hAnsi="宋体" w:cs="Arial" w:hint="eastAsia"/>
          <w:color w:val="000000"/>
          <w:kern w:val="0"/>
          <w:sz w:val="32"/>
          <w:szCs w:val="32"/>
        </w:rPr>
        <w:lastRenderedPageBreak/>
        <w:t>业设立登记后，即时通过市政务信息资源共享平台交换企业登记信息，其他部门和单位可直接进入企业相关事项的办理流程，实现“一网通办、并联办理”。</w:t>
      </w:r>
      <w:r w:rsidRPr="000F38B0">
        <w:rPr>
          <w:rFonts w:ascii="方正仿宋_GBK" w:eastAsia="方正仿宋_GBK" w:hAnsi="宋体" w:cs="Arial" w:hint="eastAsia"/>
          <w:b/>
          <w:bCs/>
          <w:color w:val="000000"/>
          <w:kern w:val="0"/>
          <w:sz w:val="32"/>
          <w:szCs w:val="32"/>
        </w:rPr>
        <w:t>（责任单位：市市场监管局、市公安局、市大数据发展局、重庆市税务局、人行重庆营管部、市政府电子政务办，相关商业银行；完成时限：2019年3月31日）</w:t>
      </w:r>
    </w:p>
    <w:p w:rsidR="000F38B0" w:rsidRPr="000F38B0" w:rsidRDefault="000F38B0" w:rsidP="00B76953">
      <w:pPr>
        <w:ind w:firstLineChars="200" w:firstLine="640"/>
        <w:rPr>
          <w:rFonts w:ascii="方正黑体_GBK" w:eastAsia="方正黑体_GBK" w:hAnsi="宋体" w:cs="Arial"/>
          <w:bCs/>
          <w:color w:val="000000"/>
          <w:kern w:val="0"/>
          <w:sz w:val="32"/>
          <w:szCs w:val="32"/>
        </w:rPr>
      </w:pPr>
      <w:r w:rsidRPr="000F38B0">
        <w:rPr>
          <w:rFonts w:ascii="方正黑体_GBK" w:eastAsia="方正黑体_GBK" w:hAnsi="宋体" w:cs="Arial" w:hint="eastAsia"/>
          <w:bCs/>
          <w:color w:val="000000"/>
          <w:kern w:val="0"/>
          <w:sz w:val="32"/>
          <w:szCs w:val="32"/>
        </w:rPr>
        <w:t>二、压缩企业开办时间</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（一）对标全国先进地区，将企业办理营业执照、申领发票的办结时限由目前的5个工作日以内压减至3个工作日以内，其中，办理营业执照不超过2个工作日，申领发票不超过1个工作日。</w:t>
      </w:r>
      <w:r w:rsidRPr="000F38B0">
        <w:rPr>
          <w:rFonts w:ascii="方正仿宋_GBK" w:eastAsia="方正仿宋_GBK" w:hAnsi="宋体" w:cs="Arial" w:hint="eastAsia"/>
          <w:b/>
          <w:bCs/>
          <w:color w:val="000000"/>
          <w:kern w:val="0"/>
          <w:sz w:val="32"/>
          <w:szCs w:val="32"/>
        </w:rPr>
        <w:t>（责任单位：市市场监管局、市公安局、重庆市税务局；完成时限：2019年1月1日）</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二）企业通过各商业银行网上银行及手机移动端APP提交银行开户预约申请，通过扫码录入、在线填报、预约排号等方式，为企业开户提供便利。人行重庆营管部和有关商业银行要优化材料流转和数据传输，缩短审批时间。</w:t>
      </w:r>
      <w:r w:rsidRPr="000F38B0">
        <w:rPr>
          <w:rFonts w:ascii="方正仿宋_GBK" w:eastAsia="方正仿宋_GBK" w:hAnsi="宋体" w:cs="Arial" w:hint="eastAsia"/>
          <w:b/>
          <w:bCs/>
          <w:color w:val="000000"/>
          <w:kern w:val="0"/>
          <w:sz w:val="32"/>
          <w:szCs w:val="32"/>
        </w:rPr>
        <w:t>（责任单位：人行重庆营管部，相关商业银行；完成时限：长期）</w:t>
      </w:r>
    </w:p>
    <w:p w:rsidR="000F38B0" w:rsidRPr="000F38B0" w:rsidRDefault="000F38B0" w:rsidP="00B76953">
      <w:pPr>
        <w:ind w:firstLineChars="200" w:firstLine="640"/>
        <w:rPr>
          <w:rFonts w:ascii="方正黑体_GBK" w:eastAsia="方正黑体_GBK" w:hAnsi="宋体" w:cs="Arial"/>
          <w:bCs/>
          <w:color w:val="000000"/>
          <w:kern w:val="0"/>
          <w:sz w:val="32"/>
          <w:szCs w:val="32"/>
        </w:rPr>
      </w:pPr>
      <w:r w:rsidRPr="000F38B0">
        <w:rPr>
          <w:rFonts w:ascii="方正黑体_GBK" w:eastAsia="方正黑体_GBK" w:hAnsi="宋体" w:cs="Arial" w:hint="eastAsia"/>
          <w:bCs/>
          <w:color w:val="000000"/>
          <w:kern w:val="0"/>
          <w:sz w:val="32"/>
          <w:szCs w:val="32"/>
        </w:rPr>
        <w:t>三、减少企业开办申请材料</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全市各级政府各部门各单位通过市政府网审平台在线获取核验营业执照、身份证件等材料，强化部门间数据共享、业务</w:t>
      </w:r>
      <w:r w:rsidRPr="000F38B0">
        <w:rPr>
          <w:rFonts w:ascii="方正仿宋_GBK" w:eastAsia="方正仿宋_GBK" w:hAnsi="宋体" w:cs="Arial" w:hint="eastAsia"/>
          <w:color w:val="000000"/>
          <w:kern w:val="0"/>
          <w:sz w:val="32"/>
          <w:szCs w:val="32"/>
        </w:rPr>
        <w:lastRenderedPageBreak/>
        <w:t>协同和材料互用，精简审批材料，对于已提交过的申请材料，后续开办环节不再要求申请人重复提交。</w:t>
      </w:r>
      <w:r w:rsidRPr="000F38B0">
        <w:rPr>
          <w:rFonts w:ascii="方正仿宋_GBK" w:eastAsia="方正仿宋_GBK" w:hAnsi="宋体" w:cs="Arial" w:hint="eastAsia"/>
          <w:b/>
          <w:bCs/>
          <w:color w:val="000000"/>
          <w:kern w:val="0"/>
          <w:sz w:val="32"/>
          <w:szCs w:val="32"/>
        </w:rPr>
        <w:t>（责任单位：市市场监管局、重庆市税务局、人行重庆营管部、市政府电子政务办，相关商业银行；完成时限：长期）</w:t>
      </w:r>
    </w:p>
    <w:p w:rsidR="000F38B0" w:rsidRPr="000F38B0" w:rsidRDefault="000F38B0" w:rsidP="00B76953">
      <w:pPr>
        <w:ind w:firstLineChars="200" w:firstLine="640"/>
        <w:rPr>
          <w:rFonts w:ascii="方正黑体_GBK" w:eastAsia="方正黑体_GBK" w:hAnsi="宋体" w:cs="Arial"/>
          <w:bCs/>
          <w:color w:val="000000"/>
          <w:kern w:val="0"/>
          <w:sz w:val="32"/>
          <w:szCs w:val="32"/>
        </w:rPr>
      </w:pPr>
      <w:r w:rsidRPr="000F38B0">
        <w:rPr>
          <w:rFonts w:ascii="方正黑体_GBK" w:eastAsia="方正黑体_GBK" w:hAnsi="宋体" w:cs="Arial" w:hint="eastAsia"/>
          <w:bCs/>
          <w:color w:val="000000"/>
          <w:kern w:val="0"/>
          <w:sz w:val="32"/>
          <w:szCs w:val="32"/>
        </w:rPr>
        <w:t>四、强化政策培训和宣传</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全市各级政府各部门各单位要加强对审批工作人员的业务培训，准确掌握便利企业开办的各项改革举措。要加大宣传力度，制作企业开办指南，绘制企业开办流程图、告知单，通过办事窗口、政务网站、新闻媒体、微博微信等渠道广泛宣传，引导企业准确理解开办环节、开办时间、申请材料及办理途径，扩大改革政策社会知晓面，增强企业的获得感。</w:t>
      </w:r>
      <w:r w:rsidRPr="000F38B0">
        <w:rPr>
          <w:rFonts w:ascii="方正仿宋_GBK" w:eastAsia="方正仿宋_GBK" w:hAnsi="宋体" w:cs="Arial" w:hint="eastAsia"/>
          <w:b/>
          <w:bCs/>
          <w:color w:val="000000"/>
          <w:kern w:val="0"/>
          <w:sz w:val="32"/>
          <w:szCs w:val="32"/>
        </w:rPr>
        <w:t>（责任单位：市市场监管局、市公安局、重庆市税务局、人行重庆营管部，各区县政府，相关商业银行；完成时限：2019年1月31日）</w:t>
      </w:r>
    </w:p>
    <w:p w:rsidR="000F38B0" w:rsidRPr="000F38B0" w:rsidRDefault="000F38B0" w:rsidP="00B76953">
      <w:pPr>
        <w:ind w:firstLineChars="200" w:firstLine="640"/>
        <w:rPr>
          <w:rFonts w:ascii="方正黑体_GBK" w:eastAsia="方正黑体_GBK" w:hAnsi="宋体" w:cs="Arial"/>
          <w:bCs/>
          <w:color w:val="000000"/>
          <w:kern w:val="0"/>
          <w:sz w:val="32"/>
          <w:szCs w:val="32"/>
        </w:rPr>
      </w:pPr>
      <w:r w:rsidRPr="000F38B0">
        <w:rPr>
          <w:rFonts w:ascii="方正黑体_GBK" w:eastAsia="方正黑体_GBK" w:hAnsi="宋体" w:cs="Arial" w:hint="eastAsia"/>
          <w:bCs/>
          <w:color w:val="000000"/>
          <w:kern w:val="0"/>
          <w:sz w:val="32"/>
          <w:szCs w:val="32"/>
        </w:rPr>
        <w:t>五、强化推进落实</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全市各级政府各部门各单位要加大优化提升企业开办便利度工作推进力度，确定责任人、路线图、时间表，狠抓各项工作措施落地落实，切实提升我市企业开办便利度，改善营商环境。</w:t>
      </w:r>
      <w:r w:rsidRPr="000F38B0">
        <w:rPr>
          <w:rFonts w:ascii="方正仿宋_GBK" w:eastAsia="方正仿宋_GBK" w:hAnsi="宋体" w:cs="Arial" w:hint="eastAsia"/>
          <w:b/>
          <w:bCs/>
          <w:color w:val="000000"/>
          <w:kern w:val="0"/>
          <w:sz w:val="32"/>
          <w:szCs w:val="32"/>
        </w:rPr>
        <w:t>（责任单位：市市场监管局、市公安局、市大数据发展</w:t>
      </w:r>
      <w:r w:rsidRPr="000F38B0">
        <w:rPr>
          <w:rFonts w:ascii="方正仿宋_GBK" w:eastAsia="方正仿宋_GBK" w:hAnsi="宋体" w:cs="Arial" w:hint="eastAsia"/>
          <w:b/>
          <w:bCs/>
          <w:color w:val="000000"/>
          <w:kern w:val="0"/>
          <w:sz w:val="32"/>
          <w:szCs w:val="32"/>
        </w:rPr>
        <w:lastRenderedPageBreak/>
        <w:t>局、重庆市税务局、人行重庆营管部、市政府电子政务办，各区县政府，相关商业银行；完成时限：2019年1月31日）</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请各区县政府于2019年1月31日前，将《设置企业开办综合受理窗口推进情况表》（见附件）和推进落实情况报送市市场监管局（联系人：米文君，联系电话：63801206，传真：63712983，电子邮箱：cqgszcj@126.com）。</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 </w:t>
      </w:r>
    </w:p>
    <w:p w:rsidR="000F38B0" w:rsidRPr="000F38B0" w:rsidRDefault="000F38B0" w:rsidP="00B76953">
      <w:pPr>
        <w:ind w:firstLineChars="200" w:firstLine="640"/>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附件：设置企业开办综合受理窗口推进情况表</w:t>
      </w:r>
    </w:p>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 </w:t>
      </w:r>
    </w:p>
    <w:p w:rsidR="000F38B0" w:rsidRPr="000F38B0" w:rsidRDefault="000F38B0" w:rsidP="000F38B0">
      <w:pPr>
        <w:wordWrap w:val="0"/>
        <w:jc w:val="right"/>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重庆市人民政府办公厅</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0F38B0" w:rsidRPr="000F38B0" w:rsidRDefault="000F38B0" w:rsidP="000F38B0">
      <w:pPr>
        <w:wordWrap w:val="0"/>
        <w:jc w:val="right"/>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2019年1月7日</w:t>
      </w:r>
      <w:r>
        <w:rPr>
          <w:rFonts w:ascii="方正仿宋_GBK" w:eastAsia="方正仿宋_GBK" w:hAnsi="宋体" w:cs="Arial" w:hint="eastAsia"/>
          <w:color w:val="000000"/>
          <w:kern w:val="0"/>
          <w:sz w:val="32"/>
          <w:szCs w:val="32"/>
        </w:rPr>
        <w:t xml:space="preserve"> </w:t>
      </w:r>
      <w:r>
        <w:rPr>
          <w:rFonts w:ascii="方正仿宋_GBK" w:eastAsia="方正仿宋_GBK" w:hAnsi="宋体" w:cs="Arial"/>
          <w:color w:val="000000"/>
          <w:kern w:val="0"/>
          <w:sz w:val="32"/>
          <w:szCs w:val="32"/>
        </w:rPr>
        <w:t xml:space="preserve">     </w:t>
      </w:r>
    </w:p>
    <w:p w:rsidR="000F38B0" w:rsidRPr="000F38B0" w:rsidRDefault="000F38B0" w:rsidP="000F38B0">
      <w:pPr>
        <w:ind w:firstLine="480"/>
        <w:rPr>
          <w:rFonts w:ascii="方正仿宋_GBK" w:eastAsia="方正仿宋_GBK" w:hAnsi="宋体" w:cs="Arial"/>
          <w:color w:val="000000"/>
          <w:kern w:val="0"/>
          <w:sz w:val="32"/>
          <w:szCs w:val="32"/>
        </w:rPr>
      </w:pPr>
    </w:p>
    <w:p w:rsidR="000F38B0" w:rsidRDefault="000F38B0" w:rsidP="000F38B0">
      <w:pPr>
        <w:ind w:firstLine="480"/>
        <w:rPr>
          <w:rFonts w:ascii="方正仿宋_GBK" w:eastAsia="方正仿宋_GBK" w:hAnsi="宋体" w:cs="Arial"/>
          <w:color w:val="000000"/>
          <w:kern w:val="0"/>
          <w:sz w:val="32"/>
          <w:szCs w:val="32"/>
        </w:rPr>
      </w:pPr>
      <w:r w:rsidRPr="000F38B0">
        <w:rPr>
          <w:rFonts w:ascii="方正仿宋_GBK" w:eastAsia="方正仿宋_GBK" w:hAnsi="宋体" w:cs="Arial" w:hint="eastAsia"/>
          <w:color w:val="000000"/>
          <w:kern w:val="0"/>
          <w:sz w:val="32"/>
          <w:szCs w:val="32"/>
        </w:rPr>
        <w:t>（此件公开发布）</w:t>
      </w:r>
    </w:p>
    <w:p w:rsidR="00B76953" w:rsidRDefault="00B76953" w:rsidP="000F38B0">
      <w:pPr>
        <w:ind w:firstLine="480"/>
        <w:rPr>
          <w:rFonts w:ascii="方正仿宋_GBK" w:eastAsia="方正仿宋_GBK" w:hAnsi="Arial" w:cs="Arial"/>
          <w:color w:val="000000"/>
          <w:kern w:val="0"/>
          <w:sz w:val="32"/>
          <w:szCs w:val="32"/>
        </w:rPr>
      </w:pPr>
    </w:p>
    <w:p w:rsidR="00B76953" w:rsidRDefault="00B76953" w:rsidP="000F38B0">
      <w:pPr>
        <w:ind w:firstLine="480"/>
        <w:rPr>
          <w:rFonts w:ascii="方正仿宋_GBK" w:eastAsia="方正仿宋_GBK" w:hAnsi="Arial" w:cs="Arial"/>
          <w:color w:val="000000"/>
          <w:kern w:val="0"/>
          <w:sz w:val="32"/>
          <w:szCs w:val="32"/>
        </w:rPr>
      </w:pPr>
    </w:p>
    <w:p w:rsidR="00B76953" w:rsidRDefault="00B76953" w:rsidP="000F38B0">
      <w:pPr>
        <w:ind w:firstLine="480"/>
        <w:rPr>
          <w:rFonts w:ascii="方正仿宋_GBK" w:eastAsia="方正仿宋_GBK" w:hAnsi="Arial" w:cs="Arial"/>
          <w:color w:val="000000"/>
          <w:kern w:val="0"/>
          <w:sz w:val="32"/>
          <w:szCs w:val="32"/>
        </w:rPr>
      </w:pPr>
    </w:p>
    <w:p w:rsidR="00B76953" w:rsidRDefault="00B76953" w:rsidP="000F38B0">
      <w:pPr>
        <w:ind w:firstLine="480"/>
        <w:rPr>
          <w:rFonts w:ascii="方正仿宋_GBK" w:eastAsia="方正仿宋_GBK" w:hAnsi="Arial" w:cs="Arial"/>
          <w:color w:val="000000"/>
          <w:kern w:val="0"/>
          <w:sz w:val="32"/>
          <w:szCs w:val="32"/>
        </w:rPr>
      </w:pPr>
    </w:p>
    <w:p w:rsidR="00B76953" w:rsidRDefault="00B76953" w:rsidP="000F38B0">
      <w:pPr>
        <w:ind w:firstLine="480"/>
        <w:rPr>
          <w:rFonts w:ascii="方正仿宋_GBK" w:eastAsia="方正仿宋_GBK" w:hAnsi="Arial" w:cs="Arial"/>
          <w:color w:val="000000"/>
          <w:kern w:val="0"/>
          <w:sz w:val="32"/>
          <w:szCs w:val="32"/>
        </w:rPr>
      </w:pPr>
    </w:p>
    <w:p w:rsidR="00B76953" w:rsidRDefault="00B76953" w:rsidP="000F38B0">
      <w:pPr>
        <w:ind w:firstLine="480"/>
        <w:rPr>
          <w:rFonts w:ascii="方正仿宋_GBK" w:eastAsia="方正仿宋_GBK" w:hAnsi="Arial" w:cs="Arial"/>
          <w:color w:val="000000"/>
          <w:kern w:val="0"/>
          <w:sz w:val="32"/>
          <w:szCs w:val="32"/>
        </w:rPr>
      </w:pPr>
    </w:p>
    <w:p w:rsidR="00B76953" w:rsidRDefault="00B76953" w:rsidP="000F38B0">
      <w:pPr>
        <w:ind w:firstLine="480"/>
        <w:rPr>
          <w:rFonts w:ascii="方正黑体_GBK" w:eastAsia="方正黑体_GBK" w:hAnsi="宋体" w:cs="Arial"/>
          <w:bCs/>
          <w:color w:val="000000"/>
          <w:kern w:val="0"/>
          <w:sz w:val="32"/>
          <w:szCs w:val="32"/>
        </w:rPr>
      </w:pPr>
    </w:p>
    <w:p w:rsidR="000F38B0" w:rsidRDefault="000F38B0" w:rsidP="000F38B0">
      <w:pPr>
        <w:ind w:firstLine="480"/>
        <w:rPr>
          <w:rFonts w:ascii="方正黑体_GBK" w:eastAsia="方正黑体_GBK" w:hAnsi="宋体" w:cs="Arial"/>
          <w:bCs/>
          <w:color w:val="000000"/>
          <w:kern w:val="0"/>
          <w:sz w:val="32"/>
          <w:szCs w:val="32"/>
        </w:rPr>
      </w:pPr>
      <w:r w:rsidRPr="000F38B0">
        <w:rPr>
          <w:rFonts w:ascii="方正黑体_GBK" w:eastAsia="方正黑体_GBK" w:hAnsi="宋体" w:cs="Arial" w:hint="eastAsia"/>
          <w:bCs/>
          <w:color w:val="000000"/>
          <w:kern w:val="0"/>
          <w:sz w:val="32"/>
          <w:szCs w:val="32"/>
        </w:rPr>
        <w:lastRenderedPageBreak/>
        <w:t>附件</w:t>
      </w:r>
      <w:r w:rsidRPr="000F38B0">
        <w:rPr>
          <w:rFonts w:ascii="方正黑体_GBK" w:eastAsia="方正黑体_GBK" w:hAnsi="宋体" w:cs="Arial" w:hint="eastAsia"/>
          <w:bCs/>
          <w:color w:val="000000"/>
          <w:kern w:val="0"/>
          <w:sz w:val="32"/>
          <w:szCs w:val="32"/>
        </w:rPr>
        <w:t> </w:t>
      </w:r>
    </w:p>
    <w:p w:rsidR="00B76953" w:rsidRPr="000F38B0" w:rsidRDefault="00B76953" w:rsidP="000F38B0">
      <w:pPr>
        <w:ind w:firstLine="480"/>
        <w:rPr>
          <w:rFonts w:ascii="方正黑体_GBK" w:eastAsia="方正黑体_GBK" w:hAnsi="宋体" w:cs="Arial" w:hint="eastAsia"/>
          <w:bCs/>
          <w:color w:val="000000"/>
          <w:kern w:val="0"/>
          <w:sz w:val="32"/>
          <w:szCs w:val="32"/>
        </w:rPr>
      </w:pPr>
    </w:p>
    <w:p w:rsidR="000F38B0" w:rsidRDefault="000F38B0" w:rsidP="000F38B0">
      <w:pPr>
        <w:jc w:val="center"/>
        <w:rPr>
          <w:rFonts w:ascii="方正小标宋_GBK" w:eastAsia="方正小标宋_GBK" w:hAnsi="宋体" w:cs="Arial"/>
          <w:bCs/>
          <w:color w:val="000000"/>
          <w:kern w:val="0"/>
          <w:sz w:val="44"/>
          <w:szCs w:val="44"/>
        </w:rPr>
      </w:pPr>
      <w:r w:rsidRPr="00B76953">
        <w:rPr>
          <w:rFonts w:ascii="方正小标宋_GBK" w:eastAsia="方正小标宋_GBK" w:hAnsi="宋体" w:cs="Arial" w:hint="eastAsia"/>
          <w:bCs/>
          <w:color w:val="000000"/>
          <w:kern w:val="0"/>
          <w:sz w:val="44"/>
          <w:szCs w:val="44"/>
        </w:rPr>
        <w:t>设置企业开办综合受理窗口推进情况表</w:t>
      </w:r>
    </w:p>
    <w:p w:rsidR="00B76953" w:rsidRPr="00B76953" w:rsidRDefault="00B76953" w:rsidP="000F38B0">
      <w:pPr>
        <w:jc w:val="center"/>
        <w:rPr>
          <w:rFonts w:ascii="方正小标宋_GBK" w:eastAsia="方正小标宋_GBK" w:hAnsi="Arial" w:cs="Arial" w:hint="eastAsia"/>
          <w:color w:val="000000"/>
          <w:kern w:val="0"/>
          <w:sz w:val="44"/>
          <w:szCs w:val="44"/>
        </w:rPr>
      </w:pPr>
    </w:p>
    <w:p w:rsidR="00B76953" w:rsidRPr="000F38B0" w:rsidRDefault="000F38B0" w:rsidP="000F38B0">
      <w:pPr>
        <w:jc w:val="center"/>
        <w:rPr>
          <w:rFonts w:ascii="方正仿宋_GBK" w:eastAsia="方正仿宋_GBK" w:hAnsi="Arial" w:cs="Arial" w:hint="eastAsia"/>
          <w:color w:val="000000"/>
          <w:kern w:val="0"/>
          <w:sz w:val="32"/>
          <w:szCs w:val="32"/>
        </w:rPr>
      </w:pPr>
      <w:r w:rsidRPr="000F38B0">
        <w:rPr>
          <w:rFonts w:ascii="方正仿宋_GBK" w:eastAsia="方正仿宋_GBK" w:hAnsi="宋体" w:cs="Arial" w:hint="eastAsia"/>
          <w:color w:val="000000"/>
          <w:kern w:val="0"/>
          <w:sz w:val="32"/>
          <w:szCs w:val="32"/>
        </w:rPr>
        <w:t> </w:t>
      </w:r>
      <w:r w:rsidRPr="000F38B0">
        <w:rPr>
          <w:rFonts w:ascii="方正仿宋_GBK" w:eastAsia="方正仿宋_GBK" w:hAnsi="宋体" w:cs="Arial" w:hint="eastAsia"/>
          <w:color w:val="000000"/>
          <w:kern w:val="0"/>
          <w:sz w:val="32"/>
          <w:szCs w:val="32"/>
        </w:rPr>
        <w:t>区（县）政府（盖章）：</w:t>
      </w:r>
    </w:p>
    <w:tbl>
      <w:tblPr>
        <w:tblW w:w="8895" w:type="dxa"/>
        <w:jc w:val="center"/>
        <w:tblCellMar>
          <w:top w:w="75" w:type="dxa"/>
          <w:left w:w="150" w:type="dxa"/>
          <w:bottom w:w="75" w:type="dxa"/>
          <w:right w:w="150" w:type="dxa"/>
        </w:tblCellMar>
        <w:tblLook w:val="04A0" w:firstRow="1" w:lastRow="0" w:firstColumn="1" w:lastColumn="0" w:noHBand="0" w:noVBand="1"/>
      </w:tblPr>
      <w:tblGrid>
        <w:gridCol w:w="1188"/>
        <w:gridCol w:w="1187"/>
        <w:gridCol w:w="2028"/>
        <w:gridCol w:w="811"/>
        <w:gridCol w:w="841"/>
        <w:gridCol w:w="2840"/>
      </w:tblGrid>
      <w:tr w:rsidR="000F38B0" w:rsidRPr="000F38B0" w:rsidTr="00B76953">
        <w:trPr>
          <w:trHeight w:val="900"/>
          <w:jc w:val="center"/>
        </w:trPr>
        <w:tc>
          <w:tcPr>
            <w:tcW w:w="1185" w:type="dxa"/>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是否已设置企业开办综合受理窗口</w:t>
            </w:r>
          </w:p>
        </w:tc>
        <w:tc>
          <w:tcPr>
            <w:tcW w:w="1185" w:type="dxa"/>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综合受理</w:t>
            </w:r>
          </w:p>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窗口数量</w:t>
            </w:r>
          </w:p>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（个）</w:t>
            </w:r>
          </w:p>
        </w:tc>
        <w:tc>
          <w:tcPr>
            <w:tcW w:w="3675" w:type="dxa"/>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综合受理窗口服务功能</w:t>
            </w:r>
          </w:p>
        </w:tc>
        <w:tc>
          <w:tcPr>
            <w:tcW w:w="2835" w:type="dxa"/>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商业银行入驻大厅情况</w:t>
            </w:r>
          </w:p>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（请简述入驻银行及方式）</w:t>
            </w:r>
          </w:p>
        </w:tc>
      </w:tr>
      <w:tr w:rsidR="000F38B0" w:rsidRPr="000F38B0" w:rsidTr="00B76953">
        <w:trPr>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服务功能</w:t>
            </w:r>
          </w:p>
        </w:tc>
        <w:tc>
          <w:tcPr>
            <w:tcW w:w="81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具备</w:t>
            </w:r>
          </w:p>
        </w:tc>
        <w:tc>
          <w:tcPr>
            <w:tcW w:w="8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B76953">
            <w:pPr>
              <w:jc w:val="cente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不具备</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r>
      <w:tr w:rsidR="000F38B0" w:rsidRPr="000F38B0" w:rsidTr="000F38B0">
        <w:trPr>
          <w:trHeight w:val="900"/>
          <w:jc w:val="center"/>
        </w:trPr>
        <w:tc>
          <w:tcPr>
            <w:tcW w:w="1185" w:type="dxa"/>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1185" w:type="dxa"/>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202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名称预核准</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1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2835" w:type="dxa"/>
            <w:vMerge w:val="restar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r>
      <w:tr w:rsidR="000F38B0" w:rsidRPr="000F38B0" w:rsidTr="000F38B0">
        <w:trPr>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设立登记及发放营业执照</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1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r>
      <w:tr w:rsidR="000F38B0" w:rsidRPr="000F38B0" w:rsidTr="000F38B0">
        <w:trPr>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刻制公章及备案</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1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r>
      <w:tr w:rsidR="000F38B0" w:rsidRPr="000F38B0" w:rsidTr="000F38B0">
        <w:trPr>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定税种及补录信息</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1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r>
      <w:tr w:rsidR="000F38B0" w:rsidRPr="000F38B0" w:rsidTr="000F38B0">
        <w:trPr>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申领发票</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1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r>
      <w:tr w:rsidR="000F38B0" w:rsidRPr="000F38B0" w:rsidTr="000F38B0">
        <w:trPr>
          <w:trHeight w:val="90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c>
          <w:tcPr>
            <w:tcW w:w="202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银行开户</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1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840"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Arial" w:cs="Arial" w:hint="eastAsia"/>
                <w:color w:val="000000"/>
                <w:kern w:val="0"/>
                <w:sz w:val="32"/>
                <w:szCs w:val="32"/>
              </w:rPr>
              <w:br/>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r>
              <w:rPr>
                <w:rFonts w:ascii="方正仿宋_GBK" w:eastAsia="方正仿宋_GBK" w:hAnsi="Arial" w:cs="Arial" w:hint="eastAsia"/>
                <w:color w:val="000000"/>
                <w:kern w:val="0"/>
                <w:sz w:val="32"/>
                <w:szCs w:val="32"/>
              </w:rPr>
              <w:t> </w:t>
            </w:r>
            <w:r w:rsidRPr="000F38B0">
              <w:rPr>
                <w:rFonts w:ascii="方正仿宋_GBK" w:eastAsia="方正仿宋_GBK" w:hAnsi="Arial" w:cs="Arial" w:hint="eastAsia"/>
                <w:color w:val="000000"/>
                <w:kern w:val="0"/>
                <w:sz w:val="32"/>
                <w:szCs w:val="32"/>
              </w:rPr>
              <w:t> </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0F38B0" w:rsidRPr="000F38B0" w:rsidRDefault="000F38B0" w:rsidP="000F38B0">
            <w:pPr>
              <w:rPr>
                <w:rFonts w:ascii="方正仿宋_GBK" w:eastAsia="方正仿宋_GBK" w:hAnsi="Arial" w:cs="Arial"/>
                <w:color w:val="000000"/>
                <w:kern w:val="0"/>
                <w:sz w:val="32"/>
                <w:szCs w:val="32"/>
              </w:rPr>
            </w:pPr>
          </w:p>
        </w:tc>
      </w:tr>
    </w:tbl>
    <w:p w:rsidR="00B76953" w:rsidRDefault="00B76953" w:rsidP="000F38B0">
      <w:pPr>
        <w:rPr>
          <w:rFonts w:ascii="方正仿宋_GBK" w:eastAsia="方正仿宋_GBK" w:hAnsi="宋体" w:cs="Arial"/>
          <w:color w:val="000000"/>
          <w:kern w:val="0"/>
          <w:sz w:val="32"/>
          <w:szCs w:val="32"/>
        </w:rPr>
      </w:pPr>
    </w:p>
    <w:p w:rsidR="000F38B0" w:rsidRPr="000F38B0" w:rsidRDefault="000F38B0" w:rsidP="000F38B0">
      <w:pPr>
        <w:rPr>
          <w:rFonts w:ascii="方正仿宋_GBK" w:eastAsia="方正仿宋_GBK" w:hAnsi="Arial" w:cs="Arial"/>
          <w:color w:val="000000"/>
          <w:kern w:val="0"/>
          <w:sz w:val="32"/>
          <w:szCs w:val="32"/>
        </w:rPr>
      </w:pPr>
      <w:r w:rsidRPr="000F38B0">
        <w:rPr>
          <w:rFonts w:ascii="方正仿宋_GBK" w:eastAsia="方正仿宋_GBK" w:hAnsi="宋体" w:cs="Arial" w:hint="eastAsia"/>
          <w:color w:val="000000"/>
          <w:kern w:val="0"/>
          <w:sz w:val="32"/>
          <w:szCs w:val="32"/>
        </w:rPr>
        <w:t>填表人：</w:t>
      </w:r>
      <w:r>
        <w:rPr>
          <w:rFonts w:ascii="方正仿宋_GBK" w:eastAsia="方正仿宋_GBK" w:hAnsi="宋体" w:cs="Arial" w:hint="eastAsia"/>
          <w:color w:val="000000"/>
          <w:kern w:val="0"/>
          <w:sz w:val="32"/>
          <w:szCs w:val="32"/>
        </w:rPr>
        <w:t> </w:t>
      </w:r>
      <w:r w:rsidRPr="000F38B0">
        <w:rPr>
          <w:rFonts w:ascii="方正仿宋_GBK" w:eastAsia="方正仿宋_GBK" w:hAnsi="宋体" w:cs="Arial" w:hint="eastAsia"/>
          <w:color w:val="000000"/>
          <w:kern w:val="0"/>
          <w:sz w:val="32"/>
          <w:szCs w:val="32"/>
        </w:rPr>
        <w:t> </w:t>
      </w:r>
      <w:r w:rsidR="00B76953">
        <w:rPr>
          <w:rFonts w:ascii="方正仿宋_GBK" w:eastAsia="方正仿宋_GBK" w:hAnsi="宋体" w:cs="Arial"/>
          <w:color w:val="000000"/>
          <w:kern w:val="0"/>
          <w:sz w:val="32"/>
          <w:szCs w:val="32"/>
        </w:rPr>
        <w:t xml:space="preserve">   </w:t>
      </w:r>
      <w:r w:rsidRPr="000F38B0">
        <w:rPr>
          <w:rFonts w:ascii="方正仿宋_GBK" w:eastAsia="方正仿宋_GBK" w:hAnsi="宋体" w:cs="Arial" w:hint="eastAsia"/>
          <w:color w:val="000000"/>
          <w:kern w:val="0"/>
          <w:sz w:val="32"/>
          <w:szCs w:val="32"/>
        </w:rPr>
        <w:t> </w:t>
      </w:r>
      <w:r w:rsidRPr="000F38B0">
        <w:rPr>
          <w:rFonts w:ascii="方正仿宋_GBK" w:eastAsia="方正仿宋_GBK" w:hAnsi="宋体" w:cs="Arial" w:hint="eastAsia"/>
          <w:color w:val="000000"/>
          <w:kern w:val="0"/>
          <w:sz w:val="32"/>
          <w:szCs w:val="32"/>
        </w:rPr>
        <w:t>联系电话：</w:t>
      </w:r>
      <w:r>
        <w:rPr>
          <w:rFonts w:ascii="方正仿宋_GBK" w:eastAsia="方正仿宋_GBK" w:hAnsi="宋体" w:cs="Arial" w:hint="eastAsia"/>
          <w:color w:val="000000"/>
          <w:kern w:val="0"/>
          <w:sz w:val="32"/>
          <w:szCs w:val="32"/>
        </w:rPr>
        <w:t> </w:t>
      </w:r>
      <w:r w:rsidRPr="000F38B0">
        <w:rPr>
          <w:rFonts w:ascii="方正仿宋_GBK" w:eastAsia="方正仿宋_GBK" w:hAnsi="宋体" w:cs="Arial" w:hint="eastAsia"/>
          <w:color w:val="000000"/>
          <w:kern w:val="0"/>
          <w:sz w:val="32"/>
          <w:szCs w:val="32"/>
        </w:rPr>
        <w:t> </w:t>
      </w:r>
      <w:r w:rsidR="00B76953">
        <w:rPr>
          <w:rFonts w:ascii="方正仿宋_GBK" w:eastAsia="方正仿宋_GBK" w:hAnsi="宋体" w:cs="Arial" w:hint="eastAsia"/>
          <w:color w:val="000000"/>
          <w:kern w:val="0"/>
          <w:sz w:val="32"/>
          <w:szCs w:val="32"/>
        </w:rPr>
        <w:t xml:space="preserve"> </w:t>
      </w:r>
      <w:r w:rsidR="00B76953">
        <w:rPr>
          <w:rFonts w:ascii="方正仿宋_GBK" w:eastAsia="方正仿宋_GBK" w:hAnsi="宋体" w:cs="Arial"/>
          <w:color w:val="000000"/>
          <w:kern w:val="0"/>
          <w:sz w:val="32"/>
          <w:szCs w:val="32"/>
        </w:rPr>
        <w:t xml:space="preserve">     </w:t>
      </w:r>
      <w:r w:rsidRPr="000F38B0">
        <w:rPr>
          <w:rFonts w:ascii="方正仿宋_GBK" w:eastAsia="方正仿宋_GBK" w:hAnsi="宋体" w:cs="Arial" w:hint="eastAsia"/>
          <w:color w:val="000000"/>
          <w:kern w:val="0"/>
          <w:sz w:val="32"/>
          <w:szCs w:val="32"/>
        </w:rPr>
        <w:t> </w:t>
      </w:r>
      <w:r w:rsidRPr="000F38B0">
        <w:rPr>
          <w:rFonts w:ascii="方正仿宋_GBK" w:eastAsia="方正仿宋_GBK" w:hAnsi="宋体" w:cs="Arial" w:hint="eastAsia"/>
          <w:color w:val="000000"/>
          <w:kern w:val="0"/>
          <w:sz w:val="32"/>
          <w:szCs w:val="32"/>
        </w:rPr>
        <w:t> </w:t>
      </w:r>
      <w:r w:rsidRPr="000F38B0">
        <w:rPr>
          <w:rFonts w:ascii="方正仿宋_GBK" w:eastAsia="方正仿宋_GBK" w:hAnsi="宋体" w:cs="Arial" w:hint="eastAsia"/>
          <w:color w:val="000000"/>
          <w:kern w:val="0"/>
          <w:sz w:val="32"/>
          <w:szCs w:val="32"/>
        </w:rPr>
        <w:t>填表时间：</w:t>
      </w:r>
    </w:p>
    <w:p w:rsidR="00332C01" w:rsidRPr="000F38B0" w:rsidRDefault="00332C01" w:rsidP="000F38B0">
      <w:pPr>
        <w:rPr>
          <w:rFonts w:ascii="方正仿宋_GBK" w:eastAsia="方正仿宋_GBK"/>
          <w:sz w:val="32"/>
          <w:szCs w:val="32"/>
        </w:rPr>
      </w:pPr>
    </w:p>
    <w:sectPr w:rsidR="00332C01" w:rsidRPr="000F38B0"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D5A" w:rsidRDefault="00863D5A">
      <w:r>
        <w:separator/>
      </w:r>
    </w:p>
  </w:endnote>
  <w:endnote w:type="continuationSeparator" w:id="0">
    <w:p w:rsidR="00863D5A" w:rsidRDefault="0086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695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7695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重庆市人民政府办公厅发布 </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D5A" w:rsidRDefault="00863D5A">
      <w:r>
        <w:separator/>
      </w:r>
    </w:p>
  </w:footnote>
  <w:footnote w:type="continuationSeparator" w:id="0">
    <w:p w:rsidR="00863D5A" w:rsidRDefault="00863D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3F5"/>
    <w:rsid w:val="00044E93"/>
    <w:rsid w:val="000F38B0"/>
    <w:rsid w:val="000F7414"/>
    <w:rsid w:val="00172A27"/>
    <w:rsid w:val="00187C4B"/>
    <w:rsid w:val="001975B8"/>
    <w:rsid w:val="001A779E"/>
    <w:rsid w:val="001F40B1"/>
    <w:rsid w:val="00255676"/>
    <w:rsid w:val="0029749C"/>
    <w:rsid w:val="002D7BC1"/>
    <w:rsid w:val="00304222"/>
    <w:rsid w:val="00304ECC"/>
    <w:rsid w:val="00332C01"/>
    <w:rsid w:val="00396079"/>
    <w:rsid w:val="003A3264"/>
    <w:rsid w:val="003C09D9"/>
    <w:rsid w:val="0046171A"/>
    <w:rsid w:val="005C13D9"/>
    <w:rsid w:val="00740743"/>
    <w:rsid w:val="007E26B6"/>
    <w:rsid w:val="00863D5A"/>
    <w:rsid w:val="00893EAB"/>
    <w:rsid w:val="00895BF5"/>
    <w:rsid w:val="009E5129"/>
    <w:rsid w:val="009E7D10"/>
    <w:rsid w:val="009F7093"/>
    <w:rsid w:val="00B76953"/>
    <w:rsid w:val="00BC5791"/>
    <w:rsid w:val="00C0770C"/>
    <w:rsid w:val="00C07C60"/>
    <w:rsid w:val="00C10E39"/>
    <w:rsid w:val="00C21805"/>
    <w:rsid w:val="00D36E6C"/>
    <w:rsid w:val="00D806EF"/>
    <w:rsid w:val="00DA1C29"/>
    <w:rsid w:val="00DC05E6"/>
    <w:rsid w:val="00F368B4"/>
    <w:rsid w:val="00F74E87"/>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6C3D"/>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2022-07-26T02:33:00Z</cp:lastPrinted>
  <dcterms:created xsi:type="dcterms:W3CDTF">2022-07-26T02:57:00Z</dcterms:created>
  <dcterms:modified xsi:type="dcterms:W3CDTF">2022-07-26T03:05:00Z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