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adjustRightInd/>
        <w:snapToGrid/>
        <w:spacing w:line="600" w:lineRule="exact"/>
        <w:jc w:val="center"/>
        <w:textAlignment w:val="auto"/>
        <w:rPr>
          <w:rFonts w:ascii="方正小标宋_GBK" w:hAnsi="黑体" w:eastAsia="方正小标宋_GBK" w:cs="Arial"/>
          <w:color w:val="000000"/>
          <w:kern w:val="0"/>
          <w:sz w:val="44"/>
          <w:szCs w:val="44"/>
        </w:rPr>
      </w:pPr>
    </w:p>
    <w:p>
      <w:pPr>
        <w:keepNext w:val="0"/>
        <w:keepLines w:val="0"/>
        <w:pageBreakBefore w:val="0"/>
        <w:widowControl/>
        <w:kinsoku/>
        <w:overflowPunct/>
        <w:topLinePunct w:val="0"/>
        <w:autoSpaceDE/>
        <w:autoSpaceDN/>
        <w:bidi w:val="0"/>
        <w:adjustRightInd/>
        <w:snapToGrid/>
        <w:spacing w:line="600" w:lineRule="exact"/>
        <w:jc w:val="center"/>
        <w:textAlignment w:val="auto"/>
        <w:rPr>
          <w:rFonts w:ascii="方正小标宋_GBK" w:hAnsi="黑体" w:eastAsia="方正小标宋_GBK" w:cs="Arial"/>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小标宋_GBK" w:hAnsi="Arial" w:eastAsia="方正小标宋_GBK" w:cs="Arial"/>
          <w:color w:val="000000"/>
          <w:kern w:val="0"/>
          <w:sz w:val="44"/>
          <w:szCs w:val="44"/>
        </w:rPr>
      </w:pPr>
      <w:r>
        <w:rPr>
          <w:rFonts w:hint="eastAsia" w:ascii="方正小标宋_GBK" w:hAnsi="黑体" w:eastAsia="方正小标宋_GBK" w:cs="Arial"/>
          <w:color w:val="000000"/>
          <w:kern w:val="0"/>
          <w:sz w:val="44"/>
          <w:szCs w:val="44"/>
        </w:rPr>
        <w:t>重庆市人民政府办公厅</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小标宋_GBK" w:hAnsi="Arial" w:eastAsia="方正小标宋_GBK" w:cs="Arial"/>
          <w:color w:val="000000"/>
          <w:kern w:val="0"/>
          <w:sz w:val="44"/>
          <w:szCs w:val="44"/>
        </w:rPr>
      </w:pPr>
      <w:r>
        <w:rPr>
          <w:rFonts w:hint="eastAsia" w:ascii="方正小标宋_GBK" w:hAnsi="黑体" w:eastAsia="方正小标宋_GBK" w:cs="Arial"/>
          <w:color w:val="000000"/>
          <w:kern w:val="0"/>
          <w:sz w:val="44"/>
          <w:szCs w:val="44"/>
        </w:rPr>
        <w:t>关于加快发展商业养老保险的通知</w:t>
      </w:r>
    </w:p>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楷体_GBK" w:hAnsi="Arial" w:eastAsia="方正楷体_GBK" w:cs="Arial"/>
          <w:color w:val="000000"/>
          <w:kern w:val="0"/>
          <w:sz w:val="32"/>
          <w:szCs w:val="32"/>
        </w:rPr>
      </w:pPr>
      <w:r>
        <w:rPr>
          <w:rFonts w:hint="eastAsia" w:ascii="方正楷体_GBK" w:hAnsi="宋体" w:eastAsia="方正楷体_GBK" w:cs="Arial"/>
          <w:color w:val="000000"/>
          <w:kern w:val="0"/>
          <w:sz w:val="32"/>
          <w:szCs w:val="32"/>
        </w:rPr>
        <w:t>渝府办发〔</w:t>
      </w:r>
      <w:r>
        <w:rPr>
          <w:rFonts w:hint="eastAsia" w:ascii="方正楷体_GBK" w:hAnsi="Arial" w:eastAsia="方正楷体_GBK" w:cs="Arial"/>
          <w:color w:val="000000"/>
          <w:kern w:val="0"/>
          <w:sz w:val="32"/>
          <w:szCs w:val="32"/>
        </w:rPr>
        <w:t>2018</w:t>
      </w:r>
      <w:r>
        <w:rPr>
          <w:rFonts w:hint="eastAsia" w:ascii="方正楷体_GBK" w:hAnsi="宋体" w:eastAsia="方正楷体_GBK" w:cs="Arial"/>
          <w:color w:val="000000"/>
          <w:kern w:val="0"/>
          <w:sz w:val="32"/>
          <w:szCs w:val="32"/>
        </w:rPr>
        <w:t>〕</w:t>
      </w:r>
      <w:r>
        <w:rPr>
          <w:rFonts w:hint="eastAsia" w:ascii="方正楷体_GBK" w:hAnsi="Arial" w:eastAsia="方正楷体_GBK" w:cs="Arial"/>
          <w:color w:val="000000"/>
          <w:kern w:val="0"/>
          <w:sz w:val="32"/>
          <w:szCs w:val="32"/>
        </w:rPr>
        <w:t>27</w:t>
      </w:r>
      <w:r>
        <w:rPr>
          <w:rFonts w:hint="eastAsia" w:ascii="方正楷体_GBK" w:hAnsi="宋体" w:eastAsia="方正楷体_GBK" w:cs="Arial"/>
          <w:color w:val="000000"/>
          <w:kern w:val="0"/>
          <w:sz w:val="32"/>
          <w:szCs w:val="32"/>
        </w:rPr>
        <w:t>号</w:t>
      </w:r>
    </w:p>
    <w:p>
      <w:pPr>
        <w:keepNext w:val="0"/>
        <w:keepLines w:val="0"/>
        <w:pageBreakBefore w:val="0"/>
        <w:widowControl/>
        <w:kinsoku/>
        <w:overflowPunct/>
        <w:topLinePunct w:val="0"/>
        <w:autoSpaceDE/>
        <w:autoSpaceDN/>
        <w:bidi w:val="0"/>
        <w:adjustRightInd/>
        <w:snapToGrid/>
        <w:spacing w:line="600" w:lineRule="exact"/>
        <w:ind w:firstLine="632"/>
        <w:jc w:val="left"/>
        <w:textAlignment w:val="auto"/>
        <w:rPr>
          <w:rFonts w:hint="eastAsia" w:ascii="方正仿宋_GBK" w:hAnsi="Arial" w:eastAsia="方正仿宋_GBK" w:cs="Arial"/>
          <w:color w:val="000000"/>
          <w:kern w:val="0"/>
          <w:sz w:val="32"/>
          <w:szCs w:val="32"/>
        </w:rPr>
      </w:pPr>
    </w:p>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各区县（自治县）人民政府，市政府有关部门，有关单位：</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《国务院办公厅关于加快发展商业养老保险的若干意见》（国办发〔</w:t>
      </w:r>
      <w:r>
        <w:rPr>
          <w:rFonts w:hint="eastAsia" w:ascii="方正仿宋_GBK" w:hAnsi="Arial" w:eastAsia="方正仿宋_GBK" w:cs="Arial"/>
          <w:color w:val="000000"/>
          <w:kern w:val="0"/>
          <w:sz w:val="32"/>
          <w:szCs w:val="32"/>
        </w:rPr>
        <w:t>2017</w:t>
      </w:r>
      <w:r>
        <w:rPr>
          <w:rFonts w:hint="eastAsia" w:ascii="方正仿宋_GBK" w:hAnsi="宋体" w:eastAsia="方正仿宋_GBK" w:cs="Arial"/>
          <w:color w:val="000000"/>
          <w:kern w:val="0"/>
          <w:sz w:val="32"/>
          <w:szCs w:val="32"/>
        </w:rPr>
        <w:t>〕</w:t>
      </w:r>
      <w:r>
        <w:rPr>
          <w:rFonts w:hint="eastAsia" w:ascii="方正仿宋_GBK" w:hAnsi="Arial" w:eastAsia="方正仿宋_GBK" w:cs="Arial"/>
          <w:color w:val="000000"/>
          <w:kern w:val="0"/>
          <w:sz w:val="32"/>
          <w:szCs w:val="32"/>
        </w:rPr>
        <w:t>59</w:t>
      </w:r>
      <w:r>
        <w:rPr>
          <w:rFonts w:hint="eastAsia" w:ascii="方正仿宋_GBK" w:hAnsi="宋体" w:eastAsia="方正仿宋_GBK" w:cs="Arial"/>
          <w:color w:val="000000"/>
          <w:kern w:val="0"/>
          <w:sz w:val="32"/>
          <w:szCs w:val="32"/>
        </w:rPr>
        <w:t>号）已在中国政府网公开发布，全市各级各部门要全面贯彻落实。同时，经市政府同意，结合我市实际，就加快发展商业养老保险工作提出如下要求，请一并抓好落实。</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黑体_GBK" w:hAnsi="黑体" w:eastAsia="方正黑体_GBK" w:cs="Arial"/>
          <w:color w:val="000000"/>
          <w:kern w:val="0"/>
          <w:sz w:val="32"/>
          <w:szCs w:val="32"/>
        </w:rPr>
        <w:t>一、丰富商业养老保险产品供给。</w:t>
      </w:r>
      <w:r>
        <w:rPr>
          <w:rFonts w:hint="eastAsia" w:ascii="方正仿宋_GBK" w:hAnsi="宋体" w:eastAsia="方正仿宋_GBK" w:cs="Arial"/>
          <w:color w:val="000000"/>
          <w:kern w:val="0"/>
          <w:sz w:val="32"/>
          <w:szCs w:val="32"/>
        </w:rPr>
        <w:t>支持商业保险机构针对我市人口状况、职业特点等开发多样化、多层次、多功能的商业养老保险产品。大力发展商业养老年金保险。推动商业保险机构发展保障性强、安全性高、满足长期或终身领取的商业养老年金保险产品，支持商业保险机构发展与企业（职业）年金领取相衔接的商业保险业务。鼓励发展具备长期养老功能、符合生命周期管理特点的个人养老保障管理业务。积极争取个人税收递延型商业养老保险试点，以税收递延方式调动广大群众自愿参保的积极性，支持符合条件的商业保险机构积极参与，扩大个人税收递延型商业养老保险产品和服务的供给。探索发展特殊群体综合养老保障计划，针对独生子女家庭、无子女家庭、“空巢”家庭、失能老人等特殊群体养老保障需求，发展涵盖健康保险、养老保险、意外保险、护理保险等在内的综合保险保障产品。持续推进计划生育特殊家庭护理保险全覆盖。全面推广以老年人意外伤害综合保险为主要内容的“孝老安康工程”，力争形成全市统一承保规则和制度，到</w:t>
      </w:r>
      <w:r>
        <w:rPr>
          <w:rFonts w:hint="eastAsia" w:ascii="方正仿宋_GBK" w:hAnsi="Arial" w:eastAsia="方正仿宋_GBK" w:cs="Arial"/>
          <w:color w:val="000000"/>
          <w:kern w:val="0"/>
          <w:sz w:val="32"/>
          <w:szCs w:val="32"/>
        </w:rPr>
        <w:t>2020</w:t>
      </w:r>
      <w:r>
        <w:rPr>
          <w:rFonts w:hint="eastAsia" w:ascii="方正仿宋_GBK" w:hAnsi="宋体" w:eastAsia="方正仿宋_GBK" w:cs="Arial"/>
          <w:color w:val="000000"/>
          <w:kern w:val="0"/>
          <w:sz w:val="32"/>
          <w:szCs w:val="32"/>
        </w:rPr>
        <w:t>年，实现全市</w:t>
      </w:r>
      <w:r>
        <w:rPr>
          <w:rFonts w:hint="eastAsia" w:ascii="方正仿宋_GBK" w:hAnsi="Arial" w:eastAsia="方正仿宋_GBK" w:cs="Arial"/>
          <w:color w:val="000000"/>
          <w:kern w:val="0"/>
          <w:sz w:val="32"/>
          <w:szCs w:val="32"/>
        </w:rPr>
        <w:t>60</w:t>
      </w:r>
      <w:r>
        <w:rPr>
          <w:rFonts w:hint="eastAsia" w:ascii="方正仿宋_GBK" w:hAnsi="宋体" w:eastAsia="方正仿宋_GBK" w:cs="Arial"/>
          <w:color w:val="000000"/>
          <w:kern w:val="0"/>
          <w:sz w:val="32"/>
          <w:szCs w:val="32"/>
        </w:rPr>
        <w:t>周岁以上老年人参保率达</w:t>
      </w:r>
      <w:r>
        <w:rPr>
          <w:rFonts w:hint="eastAsia" w:ascii="方正仿宋_GBK" w:hAnsi="Arial" w:eastAsia="方正仿宋_GBK" w:cs="Arial"/>
          <w:color w:val="000000"/>
          <w:kern w:val="0"/>
          <w:sz w:val="32"/>
          <w:szCs w:val="32"/>
        </w:rPr>
        <w:t>60%</w:t>
      </w:r>
      <w:r>
        <w:rPr>
          <w:rFonts w:hint="eastAsia" w:ascii="方正仿宋_GBK" w:hAnsi="宋体" w:eastAsia="方正仿宋_GBK" w:cs="Arial"/>
          <w:color w:val="000000"/>
          <w:kern w:val="0"/>
          <w:sz w:val="32"/>
          <w:szCs w:val="32"/>
        </w:rPr>
        <w:t>以上。</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黑体_GBK" w:hAnsi="黑体" w:eastAsia="方正黑体_GBK" w:cs="Arial"/>
          <w:color w:val="000000"/>
          <w:kern w:val="0"/>
          <w:sz w:val="32"/>
          <w:szCs w:val="32"/>
        </w:rPr>
        <w:t>二、促进养老保障体系建设。</w:t>
      </w:r>
      <w:r>
        <w:rPr>
          <w:rFonts w:hint="eastAsia" w:ascii="方正仿宋_GBK" w:hAnsi="宋体" w:eastAsia="方正仿宋_GBK" w:cs="Arial"/>
          <w:color w:val="000000"/>
          <w:kern w:val="0"/>
          <w:sz w:val="32"/>
          <w:szCs w:val="32"/>
        </w:rPr>
        <w:t>推动商业保险机构积极参与发展企业（职业）年金。充分发挥商业保险机构在精算管理、资产管理和服务资源等方面的优势，为企业（职业）年金制度改革、方案设计、基金受托、账户管理、投资管理等提供优质高效服务。加快制定完善我市职业年金配套实施制度，支持具有资格的商业保险机构成为新建职业年金计划的主要受托机构。进一步扩大企业年金制度覆盖人群和范围，放宽我市国有企业参与企业年金的条件，到</w:t>
      </w:r>
      <w:r>
        <w:rPr>
          <w:rFonts w:hint="eastAsia" w:ascii="方正仿宋_GBK" w:hAnsi="Arial" w:eastAsia="方正仿宋_GBK" w:cs="Arial"/>
          <w:color w:val="000000"/>
          <w:kern w:val="0"/>
          <w:sz w:val="32"/>
          <w:szCs w:val="32"/>
        </w:rPr>
        <w:t>2020</w:t>
      </w:r>
      <w:r>
        <w:rPr>
          <w:rFonts w:hint="eastAsia" w:ascii="方正仿宋_GBK" w:hAnsi="宋体" w:eastAsia="方正仿宋_GBK" w:cs="Arial"/>
          <w:color w:val="000000"/>
          <w:kern w:val="0"/>
          <w:sz w:val="32"/>
          <w:szCs w:val="32"/>
        </w:rPr>
        <w:t>年，我市企业年金的发展水平与经济发展水平相匹配，增强在渝企业员工的养老保障获得感、幸福感和安全感。支持符合条件的商业保险机构参与长期护理保险试点。加快制定完善我市长期护理保险制度配套文件，在确保基金安全和有效监控的前提下，支持通过政府购买服务的方式委托商业保险机构承办具体服务工作。全面推动建立养老服务机构综合责任保险制度。探索商业保险机构与各类养老机构合作模式，大力发展针对社区日间照料中心、老年活动中心、托老所、互助型社区养老服务中心、农村养老院等老年人短期托养和文体休闲活动机构的责任保险。对经市政府有关部门批准设立的养老服务机构，持续推进养老机构综合责任保险全覆盖。</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黑体_GBK" w:hAnsi="黑体" w:eastAsia="方正黑体_GBK" w:cs="Arial"/>
          <w:color w:val="000000"/>
          <w:kern w:val="0"/>
          <w:sz w:val="32"/>
          <w:szCs w:val="32"/>
        </w:rPr>
        <w:t>三、推进商业养老保险资金投资运用。</w:t>
      </w:r>
      <w:r>
        <w:rPr>
          <w:rFonts w:hint="eastAsia" w:ascii="方正仿宋_GBK" w:hAnsi="宋体" w:eastAsia="方正仿宋_GBK" w:cs="Arial"/>
          <w:color w:val="000000"/>
          <w:kern w:val="0"/>
          <w:sz w:val="32"/>
          <w:szCs w:val="32"/>
        </w:rPr>
        <w:t>推动商业保险机构投资我市养老服务产业，引导商业保险机构运用现代科技，创新管理服务，拓宽服务领域，延长服务链条，以投资新建、参股、并购、租赁、托管等方式，投资兴办养老社区以及各类养老健康服务设施和机构，推进商业养老保险与我市养老服务产业融合发展。鼓励各地探索以公私合作、民办公助、以奖代补、政府购买服务等模式，支持商业保险机构参与养老机构投资运营，服务我市养老服务业综合改革试点。推动商业养老保险资金参与我市重大战略和重点项目实施。发挥商业养老保险资金长期性、稳定性优势，进一步建立完善保险资金与我市重点项目的常态对接机制，积极吸引商业养老保险资金通过债权投资计划、股权投资计划、不动产投资计划、资产支持计划、保险资产管理产品等形式，参与重大基础设施、交通、能源、智能化新兴产业、国有企业混合所有制改革等领域的重大项目和民生工程建设，为我市“三大攻坚战”“八项行动计划”提供资金支持。按照风险可控、商业可持续原则，支持商业养老保险资金利用中国（重庆）自由贸易试验区、中新（重庆）战略性互联互通示范项目等政策优势依法合规有序开展境外市场投资。</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黑体_GBK" w:hAnsi="黑体" w:eastAsia="方正黑体_GBK" w:cs="Arial"/>
          <w:color w:val="000000"/>
          <w:kern w:val="0"/>
          <w:sz w:val="32"/>
          <w:szCs w:val="32"/>
        </w:rPr>
        <w:t>四、推动商业养老保险机构建设。</w:t>
      </w:r>
      <w:r>
        <w:rPr>
          <w:rFonts w:hint="eastAsia" w:ascii="方正仿宋_GBK" w:hAnsi="宋体" w:eastAsia="方正仿宋_GBK" w:cs="Arial"/>
          <w:color w:val="000000"/>
          <w:kern w:val="0"/>
          <w:sz w:val="32"/>
          <w:szCs w:val="32"/>
        </w:rPr>
        <w:t>鼓励符合条件的市场主体发起设立商业养老保险机构，支持其进行特色化、差异化发展，进一步丰富商业养老保险产品和服务供给。积极引进专业能力强、市场信誉度高的境外专业机构投资商业养老保险机构。支持商业保险机构设立养老事业部、养老发展中心等部门开展商业养老保险业务。加大体制机制和服务产品创新力度，加快专业人才培养和引进，进一步提升商业养老保险从业人员的专业素质和服务质量，增强现有商业养老保险机构的市场竞争力。</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黑体_GBK" w:hAnsi="黑体" w:eastAsia="方正黑体_GBK" w:cs="Arial"/>
          <w:color w:val="000000"/>
          <w:kern w:val="0"/>
          <w:sz w:val="32"/>
          <w:szCs w:val="32"/>
        </w:rPr>
        <w:t>五、完善保障支持政策。</w:t>
      </w:r>
      <w:r>
        <w:rPr>
          <w:rFonts w:hint="eastAsia" w:ascii="方正仿宋_GBK" w:hAnsi="宋体" w:eastAsia="方正仿宋_GBK" w:cs="Arial"/>
          <w:color w:val="000000"/>
          <w:kern w:val="0"/>
          <w:sz w:val="32"/>
          <w:szCs w:val="32"/>
        </w:rPr>
        <w:t>落实国家支持现代保险服务业和养老服务业发展的税收优惠政策，对商业保险机构</w:t>
      </w:r>
      <w:r>
        <w:rPr>
          <w:rFonts w:hint="eastAsia" w:ascii="方正仿宋_GBK" w:hAnsi="Arial" w:eastAsia="方正仿宋_GBK" w:cs="Arial"/>
          <w:color w:val="000000"/>
          <w:kern w:val="0"/>
          <w:sz w:val="32"/>
          <w:szCs w:val="32"/>
        </w:rPr>
        <w:t>1</w:t>
      </w:r>
      <w:r>
        <w:rPr>
          <w:rFonts w:hint="eastAsia" w:ascii="方正仿宋_GBK" w:hAnsi="宋体" w:eastAsia="方正仿宋_GBK" w:cs="Arial"/>
          <w:color w:val="000000"/>
          <w:kern w:val="0"/>
          <w:sz w:val="32"/>
          <w:szCs w:val="32"/>
        </w:rPr>
        <w:t>年期以上人身保险保费收入免征增值税。对符合我市金融机构落户奖励条件的商业养老保险机构，按规定落实有关支持政策，并为商业养老保险资金服务国家战略、投资重大项目、支持民生工程建设提供绿色通道。落实好商业保险机构投资兴办养老社区的用地保障政策。支持商业保险机构依法依规在投资开办的养老机构内设置医院、门诊、康复中心等医疗机构，符合条件的可按规定纳入城镇职工、城乡居民基本医疗保险定点范围。继续以政府购买服务方式推进养老机构综合责任保险。研究探索城乡特困供养老人、优抚老人、计划生育特殊家庭老人意外伤害保险、长期护理保险的保费补贴政策。市政府有关部门要加强对政策措施执行情况的监督检查，针对发现的问题及时采取整改措施，不断完善支持政策。</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黑体_GBK" w:hAnsi="黑体" w:eastAsia="方正黑体_GBK" w:cs="Arial"/>
          <w:color w:val="000000"/>
          <w:kern w:val="0"/>
          <w:sz w:val="32"/>
          <w:szCs w:val="32"/>
        </w:rPr>
        <w:t>六、营造良好环境。</w:t>
      </w:r>
      <w:r>
        <w:rPr>
          <w:rFonts w:hint="eastAsia" w:ascii="方正仿宋_GBK" w:hAnsi="宋体" w:eastAsia="方正仿宋_GBK" w:cs="Arial"/>
          <w:color w:val="000000"/>
          <w:kern w:val="0"/>
          <w:sz w:val="32"/>
          <w:szCs w:val="32"/>
        </w:rPr>
        <w:t>大力普及商业养老保险知识，增强人民群众商业养老保险意识。加强保险业诚信体系建设，推动落实守信联合激励和失信联合惩戒机制。督促商业保险机构加强投资能力和风险管控能力建设，防范投资运用风险，提升保险保障水平。加强市场监管和行业自律，督促商业保险机构严格执行商业养老保险监管政策，规范市场竞争行为；加大对商业保险机构开展商业养老保险、参与经办管理业务以及投资养老服务业等情况的检查力度，及时发现、纠正侵害消费者权益等违规行为，营造商业养老保险发展的良好市场环境。</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黑体_GBK" w:hAnsi="黑体" w:eastAsia="方正黑体_GBK" w:cs="Arial"/>
          <w:color w:val="000000"/>
          <w:kern w:val="0"/>
          <w:sz w:val="32"/>
          <w:szCs w:val="32"/>
        </w:rPr>
        <w:t>七、加强组织领导。</w:t>
      </w:r>
      <w:r>
        <w:rPr>
          <w:rFonts w:hint="eastAsia" w:ascii="方正仿宋_GBK" w:hAnsi="宋体" w:eastAsia="方正仿宋_GBK" w:cs="Arial"/>
          <w:color w:val="000000"/>
          <w:kern w:val="0"/>
          <w:sz w:val="32"/>
          <w:szCs w:val="32"/>
        </w:rPr>
        <w:t>市金融办、重庆保监局牵头，市发展改革委、市财政局、市经济信息委、市民政局、市人力社保局、市国土房管局、市卫生计生委、市国资委、市地税局、市老龄委办、市国税局等共同参与，建立加快发展商业养老保险工作市级协调机制。各区县（自治县）政府，市政府有关部门和单位要将加快发展商业养老保险纳入完善养老保障体系和加快发展养老服务业的总体安排，强化组织领导，加强沟通协调，细化完善配套政策措施，及时研究解决工作推进中的问题和困难，形成促进我市商业养老保险持续健康发展的合力。</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t>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附件：重点任务分工及进度要求</w:t>
      </w:r>
    </w:p>
    <w:p>
      <w:pPr>
        <w:keepNext w:val="0"/>
        <w:keepLines w:val="0"/>
        <w:pageBreakBefore w:val="0"/>
        <w:widowControl/>
        <w:kinsoku/>
        <w:overflowPunct/>
        <w:topLinePunct w:val="0"/>
        <w:autoSpaceDE/>
        <w:autoSpaceDN/>
        <w:bidi w:val="0"/>
        <w:adjustRightInd/>
        <w:snapToGrid/>
        <w:spacing w:line="600" w:lineRule="exact"/>
        <w:ind w:firstLine="632"/>
        <w:jc w:val="left"/>
        <w:textAlignment w:val="auto"/>
        <w:rPr>
          <w:rFonts w:hint="eastAsia"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t> </w:t>
      </w:r>
    </w:p>
    <w:p>
      <w:pPr>
        <w:keepNext w:val="0"/>
        <w:keepLines w:val="0"/>
        <w:pageBreakBefore w:val="0"/>
        <w:widowControl/>
        <w:kinsoku/>
        <w:wordWrap w:val="0"/>
        <w:overflowPunct/>
        <w:topLinePunct w:val="0"/>
        <w:autoSpaceDE/>
        <w:autoSpaceDN/>
        <w:bidi w:val="0"/>
        <w:adjustRightInd/>
        <w:snapToGrid/>
        <w:spacing w:line="600" w:lineRule="exact"/>
        <w:ind w:firstLine="632"/>
        <w:jc w:val="right"/>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 xml:space="preserve">重庆市人民政府办公厅 </w:t>
      </w:r>
      <w:r>
        <w:rPr>
          <w:rFonts w:ascii="方正仿宋_GBK" w:hAnsi="宋体" w:eastAsia="方正仿宋_GBK" w:cs="Arial"/>
          <w:color w:val="000000"/>
          <w:kern w:val="0"/>
          <w:sz w:val="32"/>
          <w:szCs w:val="32"/>
        </w:rPr>
        <w:t xml:space="preserve">   </w:t>
      </w:r>
    </w:p>
    <w:p>
      <w:pPr>
        <w:keepNext w:val="0"/>
        <w:keepLines w:val="0"/>
        <w:pageBreakBefore w:val="0"/>
        <w:widowControl/>
        <w:kinsoku/>
        <w:wordWrap w:val="0"/>
        <w:overflowPunct/>
        <w:topLinePunct w:val="0"/>
        <w:autoSpaceDE/>
        <w:autoSpaceDN/>
        <w:bidi w:val="0"/>
        <w:adjustRightInd/>
        <w:snapToGrid/>
        <w:spacing w:line="600" w:lineRule="exact"/>
        <w:ind w:firstLine="632"/>
        <w:jc w:val="right"/>
        <w:textAlignment w:val="auto"/>
        <w:rPr>
          <w:rFonts w:hint="eastAsia"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t>2018</w:t>
      </w:r>
      <w:r>
        <w:rPr>
          <w:rFonts w:hint="eastAsia" w:ascii="方正仿宋_GBK" w:hAnsi="宋体" w:eastAsia="方正仿宋_GBK" w:cs="Arial"/>
          <w:color w:val="000000"/>
          <w:kern w:val="0"/>
          <w:sz w:val="32"/>
          <w:szCs w:val="32"/>
        </w:rPr>
        <w:t>年</w:t>
      </w:r>
      <w:r>
        <w:rPr>
          <w:rFonts w:hint="eastAsia" w:ascii="方正仿宋_GBK" w:hAnsi="Arial" w:eastAsia="方正仿宋_GBK" w:cs="Arial"/>
          <w:color w:val="000000"/>
          <w:kern w:val="0"/>
          <w:sz w:val="32"/>
          <w:szCs w:val="32"/>
        </w:rPr>
        <w:t>3</w:t>
      </w:r>
      <w:r>
        <w:rPr>
          <w:rFonts w:hint="eastAsia" w:ascii="方正仿宋_GBK" w:hAnsi="宋体" w:eastAsia="方正仿宋_GBK" w:cs="Arial"/>
          <w:color w:val="000000"/>
          <w:kern w:val="0"/>
          <w:sz w:val="32"/>
          <w:szCs w:val="32"/>
        </w:rPr>
        <w:t>月</w:t>
      </w:r>
      <w:r>
        <w:rPr>
          <w:rFonts w:hint="eastAsia" w:ascii="方正仿宋_GBK" w:hAnsi="Arial" w:eastAsia="方正仿宋_GBK" w:cs="Arial"/>
          <w:color w:val="000000"/>
          <w:kern w:val="0"/>
          <w:sz w:val="32"/>
          <w:szCs w:val="32"/>
        </w:rPr>
        <w:t>8</w:t>
      </w:r>
      <w:r>
        <w:rPr>
          <w:rFonts w:hint="eastAsia" w:ascii="方正仿宋_GBK" w:hAnsi="宋体" w:eastAsia="方正仿宋_GBK" w:cs="Arial"/>
          <w:color w:val="000000"/>
          <w:kern w:val="0"/>
          <w:sz w:val="32"/>
          <w:szCs w:val="32"/>
        </w:rPr>
        <w:t xml:space="preserve">日 </w:t>
      </w:r>
      <w:r>
        <w:rPr>
          <w:rFonts w:ascii="方正仿宋_GBK" w:hAnsi="宋体" w:eastAsia="方正仿宋_GBK" w:cs="Arial"/>
          <w:color w:val="000000"/>
          <w:kern w:val="0"/>
          <w:sz w:val="32"/>
          <w:szCs w:val="32"/>
        </w:rPr>
        <w:t xml:space="preserve">     </w:t>
      </w:r>
    </w:p>
    <w:p>
      <w:pPr>
        <w:keepNext w:val="0"/>
        <w:keepLines w:val="0"/>
        <w:pageBreakBefore w:val="0"/>
        <w:widowControl/>
        <w:kinsoku/>
        <w:overflowPunct/>
        <w:topLinePunct w:val="0"/>
        <w:autoSpaceDE/>
        <w:autoSpaceDN/>
        <w:bidi w:val="0"/>
        <w:adjustRightInd/>
        <w:snapToGrid/>
        <w:spacing w:line="600" w:lineRule="exact"/>
        <w:jc w:val="left"/>
        <w:textAlignment w:val="auto"/>
        <w:rPr>
          <w:rFonts w:ascii="方正仿宋_GBK" w:hAnsi="Arial" w:eastAsia="方正仿宋_GBK" w:cs="Arial"/>
          <w:color w:val="000000"/>
          <w:kern w:val="0"/>
          <w:sz w:val="32"/>
          <w:szCs w:val="32"/>
        </w:rPr>
      </w:pPr>
    </w:p>
    <w:p>
      <w:pPr>
        <w:keepNext w:val="0"/>
        <w:keepLines w:val="0"/>
        <w:pageBreakBefore w:val="0"/>
        <w:widowControl/>
        <w:kinsoku/>
        <w:overflowPunct/>
        <w:topLinePunct w:val="0"/>
        <w:autoSpaceDE/>
        <w:autoSpaceDN/>
        <w:bidi w:val="0"/>
        <w:adjustRightInd/>
        <w:snapToGrid/>
        <w:spacing w:line="600" w:lineRule="exact"/>
        <w:jc w:val="left"/>
        <w:textAlignment w:val="auto"/>
        <w:rPr>
          <w:rFonts w:ascii="方正仿宋_GBK" w:hAnsi="Arial" w:eastAsia="方正仿宋_GBK" w:cs="Arial"/>
          <w:color w:val="000000"/>
          <w:kern w:val="0"/>
          <w:sz w:val="32"/>
          <w:szCs w:val="32"/>
        </w:rPr>
      </w:pPr>
    </w:p>
    <w:p>
      <w:pPr>
        <w:keepNext w:val="0"/>
        <w:keepLines w:val="0"/>
        <w:pageBreakBefore w:val="0"/>
        <w:widowControl/>
        <w:kinsoku/>
        <w:overflowPunct/>
        <w:topLinePunct w:val="0"/>
        <w:autoSpaceDE/>
        <w:autoSpaceDN/>
        <w:bidi w:val="0"/>
        <w:adjustRightInd/>
        <w:snapToGrid/>
        <w:spacing w:line="600" w:lineRule="exact"/>
        <w:jc w:val="left"/>
        <w:textAlignment w:val="auto"/>
        <w:rPr>
          <w:rFonts w:ascii="方正仿宋_GBK" w:hAnsi="Arial" w:eastAsia="方正仿宋_GBK" w:cs="Arial"/>
          <w:color w:val="000000"/>
          <w:kern w:val="0"/>
          <w:sz w:val="32"/>
          <w:szCs w:val="32"/>
        </w:rPr>
      </w:pPr>
    </w:p>
    <w:p>
      <w:pPr>
        <w:keepNext w:val="0"/>
        <w:keepLines w:val="0"/>
        <w:pageBreakBefore w:val="0"/>
        <w:widowControl/>
        <w:kinsoku/>
        <w:overflowPunct/>
        <w:topLinePunct w:val="0"/>
        <w:autoSpaceDE/>
        <w:autoSpaceDN/>
        <w:bidi w:val="0"/>
        <w:adjustRightInd/>
        <w:snapToGrid/>
        <w:spacing w:line="600" w:lineRule="exact"/>
        <w:jc w:val="left"/>
        <w:textAlignment w:val="auto"/>
        <w:rPr>
          <w:rFonts w:ascii="方正仿宋_GBK" w:hAnsi="Arial" w:eastAsia="方正仿宋_GBK" w:cs="Arial"/>
          <w:color w:val="000000"/>
          <w:kern w:val="0"/>
          <w:sz w:val="32"/>
          <w:szCs w:val="32"/>
        </w:rPr>
      </w:pPr>
    </w:p>
    <w:p>
      <w:pPr>
        <w:keepNext w:val="0"/>
        <w:keepLines w:val="0"/>
        <w:pageBreakBefore w:val="0"/>
        <w:widowControl/>
        <w:kinsoku/>
        <w:overflowPunct/>
        <w:topLinePunct w:val="0"/>
        <w:autoSpaceDE/>
        <w:autoSpaceDN/>
        <w:bidi w:val="0"/>
        <w:adjustRightInd/>
        <w:snapToGrid/>
        <w:spacing w:line="600" w:lineRule="exact"/>
        <w:jc w:val="left"/>
        <w:textAlignment w:val="auto"/>
        <w:rPr>
          <w:rFonts w:ascii="方正仿宋_GBK" w:hAnsi="Arial" w:eastAsia="方正仿宋_GBK" w:cs="Arial"/>
          <w:color w:val="000000"/>
          <w:kern w:val="0"/>
          <w:sz w:val="32"/>
          <w:szCs w:val="32"/>
        </w:rPr>
      </w:pPr>
    </w:p>
    <w:p>
      <w:pPr>
        <w:keepNext w:val="0"/>
        <w:keepLines w:val="0"/>
        <w:pageBreakBefore w:val="0"/>
        <w:widowControl/>
        <w:kinsoku/>
        <w:overflowPunct/>
        <w:topLinePunct w:val="0"/>
        <w:autoSpaceDE/>
        <w:autoSpaceDN/>
        <w:bidi w:val="0"/>
        <w:adjustRightInd/>
        <w:snapToGrid/>
        <w:spacing w:line="600" w:lineRule="exact"/>
        <w:jc w:val="left"/>
        <w:textAlignment w:val="auto"/>
        <w:rPr>
          <w:rFonts w:ascii="方正仿宋_GBK" w:hAnsi="Arial" w:eastAsia="方正仿宋_GBK" w:cs="Arial"/>
          <w:color w:val="000000"/>
          <w:kern w:val="0"/>
          <w:sz w:val="32"/>
          <w:szCs w:val="32"/>
        </w:rPr>
      </w:pPr>
    </w:p>
    <w:p>
      <w:pPr>
        <w:keepNext w:val="0"/>
        <w:keepLines w:val="0"/>
        <w:pageBreakBefore w:val="0"/>
        <w:widowControl/>
        <w:kinsoku/>
        <w:overflowPunct/>
        <w:topLinePunct w:val="0"/>
        <w:autoSpaceDE/>
        <w:autoSpaceDN/>
        <w:bidi w:val="0"/>
        <w:adjustRightInd/>
        <w:snapToGrid/>
        <w:spacing w:line="600" w:lineRule="exact"/>
        <w:jc w:val="left"/>
        <w:textAlignment w:val="auto"/>
        <w:rPr>
          <w:rFonts w:ascii="方正仿宋_GBK" w:hAnsi="Arial" w:eastAsia="方正仿宋_GBK" w:cs="Arial"/>
          <w:color w:val="000000"/>
          <w:kern w:val="0"/>
          <w:sz w:val="32"/>
          <w:szCs w:val="32"/>
        </w:rPr>
      </w:pPr>
    </w:p>
    <w:p>
      <w:pPr>
        <w:keepNext w:val="0"/>
        <w:keepLines w:val="0"/>
        <w:pageBreakBefore w:val="0"/>
        <w:widowControl/>
        <w:kinsoku/>
        <w:overflowPunct/>
        <w:topLinePunct w:val="0"/>
        <w:autoSpaceDE/>
        <w:autoSpaceDN/>
        <w:bidi w:val="0"/>
        <w:adjustRightInd/>
        <w:snapToGrid/>
        <w:spacing w:line="600" w:lineRule="exact"/>
        <w:jc w:val="left"/>
        <w:textAlignment w:val="auto"/>
        <w:rPr>
          <w:rFonts w:ascii="方正仿宋_GBK" w:hAnsi="Arial" w:eastAsia="方正仿宋_GBK" w:cs="Arial"/>
          <w:color w:val="000000"/>
          <w:kern w:val="0"/>
          <w:sz w:val="32"/>
          <w:szCs w:val="32"/>
        </w:rPr>
      </w:pPr>
    </w:p>
    <w:p>
      <w:pPr>
        <w:keepNext w:val="0"/>
        <w:keepLines w:val="0"/>
        <w:pageBreakBefore w:val="0"/>
        <w:widowControl/>
        <w:kinsoku/>
        <w:overflowPunct/>
        <w:topLinePunct w:val="0"/>
        <w:autoSpaceDE/>
        <w:autoSpaceDN/>
        <w:bidi w:val="0"/>
        <w:adjustRightInd/>
        <w:snapToGrid/>
        <w:spacing w:line="600" w:lineRule="exact"/>
        <w:jc w:val="left"/>
        <w:textAlignment w:val="auto"/>
        <w:rPr>
          <w:rFonts w:ascii="方正仿宋_GBK" w:hAnsi="Arial" w:eastAsia="方正仿宋_GBK" w:cs="Arial"/>
          <w:color w:val="000000"/>
          <w:kern w:val="0"/>
          <w:sz w:val="32"/>
          <w:szCs w:val="32"/>
        </w:rPr>
      </w:pPr>
    </w:p>
    <w:p>
      <w:pPr>
        <w:keepNext w:val="0"/>
        <w:keepLines w:val="0"/>
        <w:pageBreakBefore w:val="0"/>
        <w:widowControl/>
        <w:kinsoku/>
        <w:overflowPunct/>
        <w:topLinePunct w:val="0"/>
        <w:autoSpaceDE/>
        <w:autoSpaceDN/>
        <w:bidi w:val="0"/>
        <w:adjustRightInd/>
        <w:snapToGrid/>
        <w:spacing w:line="600" w:lineRule="exact"/>
        <w:jc w:val="left"/>
        <w:textAlignment w:val="auto"/>
        <w:rPr>
          <w:rFonts w:ascii="方正仿宋_GBK" w:hAnsi="Arial" w:eastAsia="方正仿宋_GBK" w:cs="Arial"/>
          <w:color w:val="000000"/>
          <w:kern w:val="0"/>
          <w:sz w:val="32"/>
          <w:szCs w:val="32"/>
        </w:rPr>
      </w:pPr>
    </w:p>
    <w:p>
      <w:pPr>
        <w:keepNext w:val="0"/>
        <w:keepLines w:val="0"/>
        <w:pageBreakBefore w:val="0"/>
        <w:widowControl/>
        <w:kinsoku/>
        <w:overflowPunct/>
        <w:topLinePunct w:val="0"/>
        <w:autoSpaceDE/>
        <w:autoSpaceDN/>
        <w:bidi w:val="0"/>
        <w:adjustRightInd/>
        <w:snapToGrid/>
        <w:spacing w:line="600" w:lineRule="exact"/>
        <w:jc w:val="left"/>
        <w:textAlignment w:val="auto"/>
        <w:rPr>
          <w:rFonts w:ascii="方正仿宋_GBK" w:hAnsi="Arial" w:eastAsia="方正仿宋_GBK" w:cs="Arial"/>
          <w:color w:val="000000"/>
          <w:kern w:val="0"/>
          <w:sz w:val="32"/>
          <w:szCs w:val="32"/>
        </w:rPr>
      </w:pPr>
    </w:p>
    <w:p>
      <w:pPr>
        <w:keepNext w:val="0"/>
        <w:keepLines w:val="0"/>
        <w:pageBreakBefore w:val="0"/>
        <w:widowControl/>
        <w:kinsoku/>
        <w:overflowPunct/>
        <w:topLinePunct w:val="0"/>
        <w:autoSpaceDE/>
        <w:autoSpaceDN/>
        <w:bidi w:val="0"/>
        <w:adjustRightInd/>
        <w:snapToGrid/>
        <w:spacing w:line="600" w:lineRule="exact"/>
        <w:jc w:val="left"/>
        <w:textAlignment w:val="auto"/>
        <w:rPr>
          <w:rFonts w:ascii="方正仿宋_GBK" w:hAnsi="Arial" w:eastAsia="方正仿宋_GBK" w:cs="Arial"/>
          <w:color w:val="000000"/>
          <w:kern w:val="0"/>
          <w:sz w:val="32"/>
          <w:szCs w:val="32"/>
        </w:rPr>
      </w:pPr>
    </w:p>
    <w:p>
      <w:pPr>
        <w:keepNext w:val="0"/>
        <w:keepLines w:val="0"/>
        <w:pageBreakBefore w:val="0"/>
        <w:widowControl/>
        <w:kinsoku/>
        <w:overflowPunct/>
        <w:topLinePunct w:val="0"/>
        <w:autoSpaceDE/>
        <w:autoSpaceDN/>
        <w:bidi w:val="0"/>
        <w:adjustRightInd/>
        <w:snapToGrid/>
        <w:spacing w:line="600" w:lineRule="exact"/>
        <w:jc w:val="left"/>
        <w:textAlignment w:val="auto"/>
        <w:rPr>
          <w:rFonts w:ascii="方正仿宋_GBK" w:hAnsi="Arial" w:eastAsia="方正仿宋_GBK" w:cs="Arial"/>
          <w:color w:val="000000"/>
          <w:kern w:val="0"/>
          <w:sz w:val="32"/>
          <w:szCs w:val="32"/>
        </w:rPr>
      </w:pPr>
    </w:p>
    <w:p>
      <w:pPr>
        <w:keepNext w:val="0"/>
        <w:keepLines w:val="0"/>
        <w:pageBreakBefore w:val="0"/>
        <w:widowControl/>
        <w:kinsoku/>
        <w:overflowPunct/>
        <w:topLinePunct w:val="0"/>
        <w:autoSpaceDE/>
        <w:autoSpaceDN/>
        <w:bidi w:val="0"/>
        <w:adjustRightInd/>
        <w:snapToGrid/>
        <w:spacing w:line="600" w:lineRule="exact"/>
        <w:jc w:val="left"/>
        <w:textAlignment w:val="auto"/>
        <w:rPr>
          <w:rFonts w:ascii="方正仿宋_GBK" w:hAnsi="Arial" w:eastAsia="方正仿宋_GBK" w:cs="Arial"/>
          <w:color w:val="000000"/>
          <w:kern w:val="0"/>
          <w:sz w:val="32"/>
          <w:szCs w:val="32"/>
        </w:rPr>
      </w:pPr>
    </w:p>
    <w:p>
      <w:pPr>
        <w:keepNext w:val="0"/>
        <w:keepLines w:val="0"/>
        <w:pageBreakBefore w:val="0"/>
        <w:widowControl/>
        <w:kinsoku/>
        <w:overflowPunct/>
        <w:topLinePunct w:val="0"/>
        <w:autoSpaceDE/>
        <w:autoSpaceDN/>
        <w:bidi w:val="0"/>
        <w:adjustRightInd/>
        <w:snapToGrid/>
        <w:spacing w:line="600" w:lineRule="exact"/>
        <w:jc w:val="left"/>
        <w:textAlignment w:val="auto"/>
        <w:rPr>
          <w:rFonts w:ascii="方正仿宋_GBK" w:hAnsi="Arial" w:eastAsia="方正仿宋_GBK" w:cs="Arial"/>
          <w:color w:val="000000"/>
          <w:kern w:val="0"/>
          <w:sz w:val="32"/>
          <w:szCs w:val="32"/>
        </w:rPr>
      </w:pPr>
      <w:bookmarkStart w:id="0" w:name="_GoBack"/>
      <w:bookmarkEnd w:id="0"/>
    </w:p>
    <w:p>
      <w:pPr>
        <w:keepNext w:val="0"/>
        <w:keepLines w:val="0"/>
        <w:pageBreakBefore w:val="0"/>
        <w:widowControl/>
        <w:kinsoku/>
        <w:overflowPunct/>
        <w:topLinePunct w:val="0"/>
        <w:autoSpaceDE/>
        <w:autoSpaceDN/>
        <w:bidi w:val="0"/>
        <w:adjustRightInd/>
        <w:snapToGrid/>
        <w:spacing w:line="600" w:lineRule="exact"/>
        <w:jc w:val="left"/>
        <w:textAlignment w:val="auto"/>
        <w:rPr>
          <w:rFonts w:ascii="方正仿宋_GBK" w:hAnsi="Arial" w:eastAsia="方正仿宋_GBK" w:cs="Arial"/>
          <w:color w:val="000000"/>
          <w:kern w:val="0"/>
          <w:sz w:val="32"/>
          <w:szCs w:val="32"/>
        </w:rPr>
      </w:pPr>
    </w:p>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Arial" w:eastAsia="方正仿宋_GBK" w:cs="Arial"/>
          <w:color w:val="000000"/>
          <w:kern w:val="0"/>
          <w:sz w:val="32"/>
          <w:szCs w:val="32"/>
        </w:rPr>
      </w:pPr>
    </w:p>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黑体_GBK" w:hAnsi="Arial" w:eastAsia="方正黑体_GBK" w:cs="Arial"/>
          <w:color w:val="000000"/>
          <w:kern w:val="0"/>
          <w:sz w:val="32"/>
          <w:szCs w:val="32"/>
        </w:rPr>
      </w:pPr>
      <w:r>
        <w:rPr>
          <w:rFonts w:hint="eastAsia" w:ascii="方正黑体_GBK" w:hAnsi="黑体" w:eastAsia="方正黑体_GBK" w:cs="Arial"/>
          <w:color w:val="000000"/>
          <w:kern w:val="0"/>
          <w:sz w:val="32"/>
          <w:szCs w:val="32"/>
        </w:rPr>
        <w:t>附件</w:t>
      </w:r>
    </w:p>
    <w:p>
      <w:pPr>
        <w:keepNext w:val="0"/>
        <w:keepLines w:val="0"/>
        <w:pageBreakBefore w:val="0"/>
        <w:widowControl/>
        <w:kinsoku/>
        <w:overflowPunct/>
        <w:topLinePunct w:val="0"/>
        <w:autoSpaceDE/>
        <w:autoSpaceDN/>
        <w:bidi w:val="0"/>
        <w:adjustRightInd/>
        <w:snapToGrid/>
        <w:spacing w:line="600" w:lineRule="exact"/>
        <w:ind w:firstLine="632"/>
        <w:jc w:val="left"/>
        <w:textAlignment w:val="auto"/>
        <w:rPr>
          <w:rFonts w:hint="eastAsia"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t> </w:t>
      </w:r>
    </w:p>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小标宋_GBK" w:hAnsi="Arial" w:eastAsia="方正小标宋_GBK" w:cs="Arial"/>
          <w:color w:val="000000"/>
          <w:kern w:val="0"/>
          <w:sz w:val="44"/>
          <w:szCs w:val="44"/>
        </w:rPr>
      </w:pPr>
      <w:r>
        <w:rPr>
          <w:rFonts w:hint="eastAsia" w:ascii="方正小标宋_GBK" w:hAnsi="黑体" w:eastAsia="方正小标宋_GBK" w:cs="Arial"/>
          <w:color w:val="000000"/>
          <w:kern w:val="0"/>
          <w:sz w:val="44"/>
          <w:szCs w:val="44"/>
        </w:rPr>
        <w:t>重点任务分工及进度要求</w:t>
      </w:r>
    </w:p>
    <w:p>
      <w:pPr>
        <w:keepNext w:val="0"/>
        <w:keepLines w:val="0"/>
        <w:pageBreakBefore w:val="0"/>
        <w:widowControl/>
        <w:kinsoku/>
        <w:overflowPunct/>
        <w:topLinePunct w:val="0"/>
        <w:autoSpaceDE/>
        <w:autoSpaceDN/>
        <w:bidi w:val="0"/>
        <w:adjustRightInd/>
        <w:snapToGrid/>
        <w:spacing w:line="600" w:lineRule="exact"/>
        <w:ind w:firstLine="632"/>
        <w:jc w:val="left"/>
        <w:textAlignment w:val="auto"/>
        <w:rPr>
          <w:rFonts w:hint="eastAsia" w:ascii="方正仿宋_GBK" w:hAnsi="Arial" w:eastAsia="方正仿宋_GBK" w:cs="Arial"/>
          <w:color w:val="000000"/>
          <w:kern w:val="0"/>
          <w:sz w:val="27"/>
          <w:szCs w:val="27"/>
        </w:rPr>
      </w:pPr>
      <w:r>
        <w:rPr>
          <w:rFonts w:hint="eastAsia" w:ascii="方正仿宋_GBK" w:hAnsi="Arial" w:eastAsia="方正仿宋_GBK" w:cs="Arial"/>
          <w:color w:val="000000"/>
          <w:kern w:val="0"/>
          <w:sz w:val="27"/>
          <w:szCs w:val="27"/>
        </w:rPr>
        <w:t> </w:t>
      </w:r>
    </w:p>
    <w:tbl>
      <w:tblPr>
        <w:tblStyle w:val="8"/>
        <w:tblW w:w="9378" w:type="dxa"/>
        <w:tblInd w:w="42" w:type="dxa"/>
        <w:tblLayout w:type="autofit"/>
        <w:tblCellMar>
          <w:top w:w="75" w:type="dxa"/>
          <w:left w:w="150" w:type="dxa"/>
          <w:bottom w:w="75" w:type="dxa"/>
          <w:right w:w="150" w:type="dxa"/>
        </w:tblCellMar>
      </w:tblPr>
      <w:tblGrid>
        <w:gridCol w:w="532"/>
        <w:gridCol w:w="2506"/>
        <w:gridCol w:w="1413"/>
        <w:gridCol w:w="2195"/>
        <w:gridCol w:w="2732"/>
      </w:tblGrid>
      <w:tr>
        <w:tblPrEx>
          <w:tblCellMar>
            <w:top w:w="75" w:type="dxa"/>
            <w:left w:w="150" w:type="dxa"/>
            <w:bottom w:w="75" w:type="dxa"/>
            <w:right w:w="150" w:type="dxa"/>
          </w:tblCellMar>
        </w:tblPrEx>
        <w:trPr>
          <w:trHeight w:val="425" w:hRule="atLeast"/>
          <w:tblHeader/>
        </w:trPr>
        <w:tc>
          <w:tcPr>
            <w:tcW w:w="53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center"/>
              <w:textAlignment w:val="auto"/>
              <w:rPr>
                <w:rFonts w:hint="eastAsia" w:ascii="方正仿宋_GBK" w:hAnsi="Arial" w:eastAsia="方正仿宋_GBK" w:cs="Arial"/>
                <w:b/>
                <w:color w:val="000000"/>
                <w:kern w:val="0"/>
                <w:sz w:val="28"/>
                <w:szCs w:val="27"/>
              </w:rPr>
            </w:pPr>
            <w:r>
              <w:rPr>
                <w:rFonts w:hint="eastAsia" w:ascii="方正仿宋_GBK" w:hAnsi="黑体" w:eastAsia="方正仿宋_GBK" w:cs="Arial"/>
                <w:b/>
                <w:color w:val="000000"/>
                <w:kern w:val="0"/>
                <w:sz w:val="28"/>
              </w:rPr>
              <w:t>序号</w:t>
            </w:r>
          </w:p>
        </w:tc>
        <w:tc>
          <w:tcPr>
            <w:tcW w:w="2506" w:type="dxa"/>
            <w:tcBorders>
              <w:top w:val="single" w:color="auto" w:sz="8" w:space="0"/>
              <w:left w:val="nil"/>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center"/>
              <w:textAlignment w:val="auto"/>
              <w:rPr>
                <w:rFonts w:hint="eastAsia" w:ascii="方正仿宋_GBK" w:hAnsi="Arial" w:eastAsia="方正仿宋_GBK" w:cs="Arial"/>
                <w:b/>
                <w:color w:val="000000"/>
                <w:kern w:val="0"/>
                <w:sz w:val="28"/>
                <w:szCs w:val="27"/>
              </w:rPr>
            </w:pPr>
            <w:r>
              <w:rPr>
                <w:rFonts w:hint="eastAsia" w:ascii="方正仿宋_GBK" w:hAnsi="黑体" w:eastAsia="方正仿宋_GBK" w:cs="Arial"/>
                <w:b/>
                <w:color w:val="000000"/>
                <w:kern w:val="0"/>
                <w:sz w:val="28"/>
              </w:rPr>
              <w:t>工作任务</w:t>
            </w:r>
          </w:p>
        </w:tc>
        <w:tc>
          <w:tcPr>
            <w:tcW w:w="1413" w:type="dxa"/>
            <w:tcBorders>
              <w:top w:val="single" w:color="auto" w:sz="8" w:space="0"/>
              <w:left w:val="nil"/>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center"/>
              <w:textAlignment w:val="auto"/>
              <w:rPr>
                <w:rFonts w:hint="eastAsia" w:ascii="方正仿宋_GBK" w:hAnsi="Arial" w:eastAsia="方正仿宋_GBK" w:cs="Arial"/>
                <w:b/>
                <w:color w:val="000000"/>
                <w:kern w:val="0"/>
                <w:sz w:val="28"/>
                <w:szCs w:val="27"/>
              </w:rPr>
            </w:pPr>
            <w:r>
              <w:rPr>
                <w:rFonts w:hint="eastAsia" w:ascii="方正仿宋_GBK" w:hAnsi="黑体" w:eastAsia="方正仿宋_GBK" w:cs="Arial"/>
                <w:b/>
                <w:color w:val="000000"/>
                <w:kern w:val="0"/>
                <w:sz w:val="28"/>
              </w:rPr>
              <w:t>牵头单位</w:t>
            </w:r>
          </w:p>
        </w:tc>
        <w:tc>
          <w:tcPr>
            <w:tcW w:w="2195" w:type="dxa"/>
            <w:tcBorders>
              <w:top w:val="single" w:color="auto" w:sz="8" w:space="0"/>
              <w:left w:val="nil"/>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center"/>
              <w:textAlignment w:val="auto"/>
              <w:rPr>
                <w:rFonts w:hint="eastAsia" w:ascii="方正仿宋_GBK" w:hAnsi="Arial" w:eastAsia="方正仿宋_GBK" w:cs="Arial"/>
                <w:b/>
                <w:color w:val="000000"/>
                <w:kern w:val="0"/>
                <w:sz w:val="28"/>
                <w:szCs w:val="27"/>
              </w:rPr>
            </w:pPr>
            <w:r>
              <w:rPr>
                <w:rFonts w:hint="eastAsia" w:ascii="方正仿宋_GBK" w:hAnsi="黑体" w:eastAsia="方正仿宋_GBK" w:cs="Arial"/>
                <w:b/>
                <w:color w:val="000000"/>
                <w:kern w:val="0"/>
                <w:sz w:val="28"/>
              </w:rPr>
              <w:t>配合单位</w:t>
            </w:r>
          </w:p>
        </w:tc>
        <w:tc>
          <w:tcPr>
            <w:tcW w:w="2732" w:type="dxa"/>
            <w:tcBorders>
              <w:top w:val="single" w:color="auto" w:sz="8" w:space="0"/>
              <w:left w:val="nil"/>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center"/>
              <w:textAlignment w:val="auto"/>
              <w:rPr>
                <w:rFonts w:hint="eastAsia" w:ascii="方正仿宋_GBK" w:hAnsi="Arial" w:eastAsia="方正仿宋_GBK" w:cs="Arial"/>
                <w:b/>
                <w:color w:val="000000"/>
                <w:kern w:val="0"/>
                <w:sz w:val="28"/>
                <w:szCs w:val="27"/>
              </w:rPr>
            </w:pPr>
            <w:r>
              <w:rPr>
                <w:rFonts w:hint="eastAsia" w:ascii="方正仿宋_GBK" w:hAnsi="黑体" w:eastAsia="方正仿宋_GBK" w:cs="Arial"/>
                <w:b/>
                <w:color w:val="000000"/>
                <w:kern w:val="0"/>
                <w:sz w:val="28"/>
              </w:rPr>
              <w:t>进度要求</w:t>
            </w:r>
          </w:p>
        </w:tc>
      </w:tr>
      <w:tr>
        <w:tblPrEx>
          <w:tblCellMar>
            <w:top w:w="75" w:type="dxa"/>
            <w:left w:w="150" w:type="dxa"/>
            <w:bottom w:w="75" w:type="dxa"/>
            <w:right w:w="150" w:type="dxa"/>
          </w:tblCellMar>
        </w:tblPrEx>
        <w:trPr>
          <w:trHeight w:val="425" w:hRule="atLeast"/>
        </w:trPr>
        <w:tc>
          <w:tcPr>
            <w:tcW w:w="532"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center"/>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1</w:t>
            </w:r>
          </w:p>
        </w:tc>
        <w:tc>
          <w:tcPr>
            <w:tcW w:w="2506" w:type="dxa"/>
            <w:tcBorders>
              <w:top w:val="nil"/>
              <w:left w:val="nil"/>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left"/>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完善商业养老保险发展工作协调机制，形成工作合力</w:t>
            </w:r>
          </w:p>
        </w:tc>
        <w:tc>
          <w:tcPr>
            <w:tcW w:w="1413" w:type="dxa"/>
            <w:tcBorders>
              <w:top w:val="nil"/>
              <w:left w:val="nil"/>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left"/>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市金融办、重庆保监局</w:t>
            </w:r>
          </w:p>
        </w:tc>
        <w:tc>
          <w:tcPr>
            <w:tcW w:w="2195" w:type="dxa"/>
            <w:tcBorders>
              <w:top w:val="nil"/>
              <w:left w:val="nil"/>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left"/>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市发展改革委、市财政局、市经济信息委、市民政局、市人力社保局、市国土房管局、市卫生计生委、市国资委、市地税局、市老龄委办、市国税局</w:t>
            </w:r>
          </w:p>
        </w:tc>
        <w:tc>
          <w:tcPr>
            <w:tcW w:w="2732" w:type="dxa"/>
            <w:tcBorders>
              <w:top w:val="nil"/>
              <w:left w:val="nil"/>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left"/>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持续推进。</w:t>
            </w:r>
          </w:p>
        </w:tc>
      </w:tr>
      <w:tr>
        <w:tblPrEx>
          <w:tblCellMar>
            <w:top w:w="75" w:type="dxa"/>
            <w:left w:w="150" w:type="dxa"/>
            <w:bottom w:w="75" w:type="dxa"/>
            <w:right w:w="150" w:type="dxa"/>
          </w:tblCellMar>
        </w:tblPrEx>
        <w:trPr>
          <w:trHeight w:val="425" w:hRule="atLeast"/>
        </w:trPr>
        <w:tc>
          <w:tcPr>
            <w:tcW w:w="532"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center"/>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2</w:t>
            </w:r>
          </w:p>
        </w:tc>
        <w:tc>
          <w:tcPr>
            <w:tcW w:w="2506" w:type="dxa"/>
            <w:tcBorders>
              <w:top w:val="nil"/>
              <w:left w:val="nil"/>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left"/>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大力发展商业养老年金保险</w:t>
            </w:r>
          </w:p>
        </w:tc>
        <w:tc>
          <w:tcPr>
            <w:tcW w:w="1413" w:type="dxa"/>
            <w:tcBorders>
              <w:top w:val="nil"/>
              <w:left w:val="nil"/>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left"/>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重庆保监局</w:t>
            </w:r>
          </w:p>
        </w:tc>
        <w:tc>
          <w:tcPr>
            <w:tcW w:w="2195" w:type="dxa"/>
            <w:tcBorders>
              <w:top w:val="nil"/>
              <w:left w:val="nil"/>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left"/>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市金融办</w:t>
            </w:r>
          </w:p>
        </w:tc>
        <w:tc>
          <w:tcPr>
            <w:tcW w:w="2732" w:type="dxa"/>
            <w:tcBorders>
              <w:top w:val="nil"/>
              <w:left w:val="nil"/>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left"/>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持续推进。</w:t>
            </w:r>
          </w:p>
        </w:tc>
      </w:tr>
      <w:tr>
        <w:tblPrEx>
          <w:tblCellMar>
            <w:top w:w="75" w:type="dxa"/>
            <w:left w:w="150" w:type="dxa"/>
            <w:bottom w:w="75" w:type="dxa"/>
            <w:right w:w="150" w:type="dxa"/>
          </w:tblCellMar>
        </w:tblPrEx>
        <w:trPr>
          <w:trHeight w:val="425" w:hRule="atLeast"/>
        </w:trPr>
        <w:tc>
          <w:tcPr>
            <w:tcW w:w="532"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center"/>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3</w:t>
            </w:r>
          </w:p>
        </w:tc>
        <w:tc>
          <w:tcPr>
            <w:tcW w:w="2506" w:type="dxa"/>
            <w:tcBorders>
              <w:top w:val="nil"/>
              <w:left w:val="nil"/>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left"/>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积极争取个人税收递延型商业养老保险试点</w:t>
            </w:r>
          </w:p>
        </w:tc>
        <w:tc>
          <w:tcPr>
            <w:tcW w:w="1413" w:type="dxa"/>
            <w:tcBorders>
              <w:top w:val="nil"/>
              <w:left w:val="nil"/>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left"/>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重庆保监局、市财政局</w:t>
            </w:r>
          </w:p>
        </w:tc>
        <w:tc>
          <w:tcPr>
            <w:tcW w:w="2195" w:type="dxa"/>
            <w:tcBorders>
              <w:top w:val="nil"/>
              <w:left w:val="nil"/>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left"/>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市人力社保局、市地税局、市金融办</w:t>
            </w:r>
          </w:p>
        </w:tc>
        <w:tc>
          <w:tcPr>
            <w:tcW w:w="2732" w:type="dxa"/>
            <w:tcBorders>
              <w:top w:val="nil"/>
              <w:left w:val="nil"/>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left"/>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按保监会进度落实。</w:t>
            </w:r>
          </w:p>
        </w:tc>
      </w:tr>
      <w:tr>
        <w:tblPrEx>
          <w:tblCellMar>
            <w:top w:w="75" w:type="dxa"/>
            <w:left w:w="150" w:type="dxa"/>
            <w:bottom w:w="75" w:type="dxa"/>
            <w:right w:w="150" w:type="dxa"/>
          </w:tblCellMar>
        </w:tblPrEx>
        <w:trPr>
          <w:trHeight w:val="425" w:hRule="atLeast"/>
        </w:trPr>
        <w:tc>
          <w:tcPr>
            <w:tcW w:w="532"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center"/>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4</w:t>
            </w:r>
          </w:p>
        </w:tc>
        <w:tc>
          <w:tcPr>
            <w:tcW w:w="2506" w:type="dxa"/>
            <w:tcBorders>
              <w:top w:val="nil"/>
              <w:left w:val="nil"/>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left"/>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探索发展特殊群体综合养老保障计划</w:t>
            </w:r>
          </w:p>
        </w:tc>
        <w:tc>
          <w:tcPr>
            <w:tcW w:w="1413" w:type="dxa"/>
            <w:tcBorders>
              <w:top w:val="nil"/>
              <w:left w:val="nil"/>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left"/>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市老龄委办、重庆保监局</w:t>
            </w:r>
          </w:p>
        </w:tc>
        <w:tc>
          <w:tcPr>
            <w:tcW w:w="2195" w:type="dxa"/>
            <w:tcBorders>
              <w:top w:val="nil"/>
              <w:left w:val="nil"/>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left"/>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市民政局、市财政局、市卫生计生委</w:t>
            </w:r>
          </w:p>
        </w:tc>
        <w:tc>
          <w:tcPr>
            <w:tcW w:w="2732" w:type="dxa"/>
            <w:tcBorders>
              <w:top w:val="nil"/>
              <w:left w:val="nil"/>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left"/>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持续推进计划生育特殊家庭护理保险全覆盖。到2020年，实现全市60周岁以上老年人参保老年人意外伤害保险达60%以上。</w:t>
            </w:r>
          </w:p>
        </w:tc>
      </w:tr>
      <w:tr>
        <w:tblPrEx>
          <w:tblCellMar>
            <w:top w:w="75" w:type="dxa"/>
            <w:left w:w="150" w:type="dxa"/>
            <w:bottom w:w="75" w:type="dxa"/>
            <w:right w:w="150" w:type="dxa"/>
          </w:tblCellMar>
        </w:tblPrEx>
        <w:trPr>
          <w:trHeight w:val="425" w:hRule="atLeast"/>
        </w:trPr>
        <w:tc>
          <w:tcPr>
            <w:tcW w:w="532"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center"/>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5</w:t>
            </w:r>
          </w:p>
        </w:tc>
        <w:tc>
          <w:tcPr>
            <w:tcW w:w="2506" w:type="dxa"/>
            <w:tcBorders>
              <w:top w:val="nil"/>
              <w:left w:val="nil"/>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left"/>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推动商业保险机构积极参与发展企业（职业）年金</w:t>
            </w:r>
          </w:p>
        </w:tc>
        <w:tc>
          <w:tcPr>
            <w:tcW w:w="1413" w:type="dxa"/>
            <w:tcBorders>
              <w:top w:val="nil"/>
              <w:left w:val="nil"/>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left"/>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市人力社保局、重庆保监局</w:t>
            </w:r>
          </w:p>
        </w:tc>
        <w:tc>
          <w:tcPr>
            <w:tcW w:w="2195" w:type="dxa"/>
            <w:tcBorders>
              <w:top w:val="nil"/>
              <w:left w:val="nil"/>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left"/>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市金融办、市国资委、市地税局</w:t>
            </w:r>
          </w:p>
        </w:tc>
        <w:tc>
          <w:tcPr>
            <w:tcW w:w="2732" w:type="dxa"/>
            <w:tcBorders>
              <w:top w:val="nil"/>
              <w:left w:val="nil"/>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left"/>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到2020年，我市企业（职业）年金的发展水平与我市经济地位相匹配，力争年金资产规模大幅提升。支持具有资格的商业保险机构成为新建职业年金计划的主要受托机构。</w:t>
            </w:r>
          </w:p>
        </w:tc>
      </w:tr>
      <w:tr>
        <w:tblPrEx>
          <w:tblCellMar>
            <w:top w:w="75" w:type="dxa"/>
            <w:left w:w="150" w:type="dxa"/>
            <w:bottom w:w="75" w:type="dxa"/>
            <w:right w:w="150" w:type="dxa"/>
          </w:tblCellMar>
        </w:tblPrEx>
        <w:trPr>
          <w:trHeight w:val="425" w:hRule="atLeast"/>
        </w:trPr>
        <w:tc>
          <w:tcPr>
            <w:tcW w:w="532"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center"/>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6</w:t>
            </w:r>
          </w:p>
        </w:tc>
        <w:tc>
          <w:tcPr>
            <w:tcW w:w="2506" w:type="dxa"/>
            <w:tcBorders>
              <w:top w:val="nil"/>
              <w:left w:val="nil"/>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left"/>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支持符合条件的商业保险机构参与长期护理保险试点</w:t>
            </w:r>
          </w:p>
        </w:tc>
        <w:tc>
          <w:tcPr>
            <w:tcW w:w="1413" w:type="dxa"/>
            <w:tcBorders>
              <w:top w:val="nil"/>
              <w:left w:val="nil"/>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left"/>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市人力社保局、重庆保监局</w:t>
            </w:r>
          </w:p>
        </w:tc>
        <w:tc>
          <w:tcPr>
            <w:tcW w:w="2195" w:type="dxa"/>
            <w:tcBorders>
              <w:top w:val="nil"/>
              <w:left w:val="nil"/>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left"/>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市卫生计生委、市财政局、市金融办</w:t>
            </w:r>
          </w:p>
        </w:tc>
        <w:tc>
          <w:tcPr>
            <w:tcW w:w="2732" w:type="dxa"/>
            <w:tcBorders>
              <w:top w:val="nil"/>
              <w:left w:val="nil"/>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left"/>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持续推进。</w:t>
            </w:r>
          </w:p>
        </w:tc>
      </w:tr>
      <w:tr>
        <w:tblPrEx>
          <w:tblCellMar>
            <w:top w:w="75" w:type="dxa"/>
            <w:left w:w="150" w:type="dxa"/>
            <w:bottom w:w="75" w:type="dxa"/>
            <w:right w:w="150" w:type="dxa"/>
          </w:tblCellMar>
        </w:tblPrEx>
        <w:trPr>
          <w:trHeight w:val="425" w:hRule="atLeast"/>
        </w:trPr>
        <w:tc>
          <w:tcPr>
            <w:tcW w:w="532"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center"/>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7</w:t>
            </w:r>
          </w:p>
        </w:tc>
        <w:tc>
          <w:tcPr>
            <w:tcW w:w="2506" w:type="dxa"/>
            <w:tcBorders>
              <w:top w:val="nil"/>
              <w:left w:val="nil"/>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left"/>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全面推动建立养老机构综合责任保险制度</w:t>
            </w:r>
          </w:p>
        </w:tc>
        <w:tc>
          <w:tcPr>
            <w:tcW w:w="1413" w:type="dxa"/>
            <w:tcBorders>
              <w:top w:val="nil"/>
              <w:left w:val="nil"/>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left"/>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市民政局</w:t>
            </w:r>
          </w:p>
        </w:tc>
        <w:tc>
          <w:tcPr>
            <w:tcW w:w="2195" w:type="dxa"/>
            <w:tcBorders>
              <w:top w:val="nil"/>
              <w:left w:val="nil"/>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left"/>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重庆保监局</w:t>
            </w:r>
          </w:p>
        </w:tc>
        <w:tc>
          <w:tcPr>
            <w:tcW w:w="2732" w:type="dxa"/>
            <w:tcBorders>
              <w:top w:val="nil"/>
              <w:left w:val="nil"/>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left"/>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持续推进。</w:t>
            </w:r>
          </w:p>
        </w:tc>
      </w:tr>
      <w:tr>
        <w:tblPrEx>
          <w:tblCellMar>
            <w:top w:w="75" w:type="dxa"/>
            <w:left w:w="150" w:type="dxa"/>
            <w:bottom w:w="75" w:type="dxa"/>
            <w:right w:w="150" w:type="dxa"/>
          </w:tblCellMar>
        </w:tblPrEx>
        <w:trPr>
          <w:trHeight w:val="425" w:hRule="atLeast"/>
        </w:trPr>
        <w:tc>
          <w:tcPr>
            <w:tcW w:w="532"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center"/>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8</w:t>
            </w:r>
          </w:p>
        </w:tc>
        <w:tc>
          <w:tcPr>
            <w:tcW w:w="2506" w:type="dxa"/>
            <w:tcBorders>
              <w:top w:val="nil"/>
              <w:left w:val="nil"/>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left"/>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推动商业保险机构投资我市养老服务产业</w:t>
            </w:r>
          </w:p>
        </w:tc>
        <w:tc>
          <w:tcPr>
            <w:tcW w:w="1413" w:type="dxa"/>
            <w:tcBorders>
              <w:top w:val="nil"/>
              <w:left w:val="nil"/>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left"/>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市金融办、重庆保监局</w:t>
            </w:r>
          </w:p>
        </w:tc>
        <w:tc>
          <w:tcPr>
            <w:tcW w:w="2195" w:type="dxa"/>
            <w:tcBorders>
              <w:top w:val="nil"/>
              <w:left w:val="nil"/>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left"/>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市民政局、市卫生计生委、市国土房管局、各区县（自治县）政府</w:t>
            </w:r>
          </w:p>
        </w:tc>
        <w:tc>
          <w:tcPr>
            <w:tcW w:w="2732" w:type="dxa"/>
            <w:tcBorders>
              <w:top w:val="nil"/>
              <w:left w:val="nil"/>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left"/>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持续推进。</w:t>
            </w:r>
          </w:p>
        </w:tc>
      </w:tr>
      <w:tr>
        <w:tblPrEx>
          <w:tblCellMar>
            <w:top w:w="75" w:type="dxa"/>
            <w:left w:w="150" w:type="dxa"/>
            <w:bottom w:w="75" w:type="dxa"/>
            <w:right w:w="150" w:type="dxa"/>
          </w:tblCellMar>
        </w:tblPrEx>
        <w:trPr>
          <w:trHeight w:val="425" w:hRule="atLeast"/>
        </w:trPr>
        <w:tc>
          <w:tcPr>
            <w:tcW w:w="532"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center"/>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9</w:t>
            </w:r>
          </w:p>
        </w:tc>
        <w:tc>
          <w:tcPr>
            <w:tcW w:w="2506" w:type="dxa"/>
            <w:tcBorders>
              <w:top w:val="nil"/>
              <w:left w:val="nil"/>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left"/>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推动商业养老保险资金参与我市重大战略和重点项目实施</w:t>
            </w:r>
          </w:p>
        </w:tc>
        <w:tc>
          <w:tcPr>
            <w:tcW w:w="1413" w:type="dxa"/>
            <w:tcBorders>
              <w:top w:val="nil"/>
              <w:left w:val="nil"/>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left"/>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市金融办、重庆保监局</w:t>
            </w:r>
          </w:p>
        </w:tc>
        <w:tc>
          <w:tcPr>
            <w:tcW w:w="2195" w:type="dxa"/>
            <w:tcBorders>
              <w:top w:val="nil"/>
              <w:left w:val="nil"/>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left"/>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市发展改革委、市国资委、市经济信息委</w:t>
            </w:r>
          </w:p>
        </w:tc>
        <w:tc>
          <w:tcPr>
            <w:tcW w:w="2732" w:type="dxa"/>
            <w:tcBorders>
              <w:top w:val="nil"/>
              <w:left w:val="nil"/>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left"/>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持续推进。</w:t>
            </w:r>
          </w:p>
        </w:tc>
      </w:tr>
      <w:tr>
        <w:tblPrEx>
          <w:tblCellMar>
            <w:top w:w="75" w:type="dxa"/>
            <w:left w:w="150" w:type="dxa"/>
            <w:bottom w:w="75" w:type="dxa"/>
            <w:right w:w="150" w:type="dxa"/>
          </w:tblCellMar>
        </w:tblPrEx>
        <w:trPr>
          <w:trHeight w:val="425" w:hRule="atLeast"/>
        </w:trPr>
        <w:tc>
          <w:tcPr>
            <w:tcW w:w="532"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center"/>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10</w:t>
            </w:r>
          </w:p>
        </w:tc>
        <w:tc>
          <w:tcPr>
            <w:tcW w:w="2506" w:type="dxa"/>
            <w:tcBorders>
              <w:top w:val="nil"/>
              <w:left w:val="nil"/>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left"/>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支持在渝投资发起设立商业养老保险机构，并促进其提升专业能力和服务水平</w:t>
            </w:r>
          </w:p>
        </w:tc>
        <w:tc>
          <w:tcPr>
            <w:tcW w:w="1413" w:type="dxa"/>
            <w:tcBorders>
              <w:top w:val="nil"/>
              <w:left w:val="nil"/>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left"/>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重庆保监局、市金融办</w:t>
            </w:r>
          </w:p>
        </w:tc>
        <w:tc>
          <w:tcPr>
            <w:tcW w:w="2195" w:type="dxa"/>
            <w:tcBorders>
              <w:top w:val="nil"/>
              <w:left w:val="nil"/>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left"/>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市财政局</w:t>
            </w:r>
          </w:p>
        </w:tc>
        <w:tc>
          <w:tcPr>
            <w:tcW w:w="2732" w:type="dxa"/>
            <w:tcBorders>
              <w:top w:val="nil"/>
              <w:left w:val="nil"/>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left"/>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持续推进。</w:t>
            </w:r>
          </w:p>
        </w:tc>
      </w:tr>
      <w:tr>
        <w:tblPrEx>
          <w:tblCellMar>
            <w:top w:w="75" w:type="dxa"/>
            <w:left w:w="150" w:type="dxa"/>
            <w:bottom w:w="75" w:type="dxa"/>
            <w:right w:w="150" w:type="dxa"/>
          </w:tblCellMar>
        </w:tblPrEx>
        <w:trPr>
          <w:trHeight w:val="425" w:hRule="atLeast"/>
        </w:trPr>
        <w:tc>
          <w:tcPr>
            <w:tcW w:w="532"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center"/>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11</w:t>
            </w:r>
          </w:p>
        </w:tc>
        <w:tc>
          <w:tcPr>
            <w:tcW w:w="2506" w:type="dxa"/>
            <w:tcBorders>
              <w:top w:val="nil"/>
              <w:left w:val="nil"/>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left"/>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支持商业保险机构在投资开办的养老机构内设置医疗机构，对符合条件的可按规定纳入基本医疗保险定点范围</w:t>
            </w:r>
          </w:p>
        </w:tc>
        <w:tc>
          <w:tcPr>
            <w:tcW w:w="1413" w:type="dxa"/>
            <w:tcBorders>
              <w:top w:val="nil"/>
              <w:left w:val="nil"/>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left"/>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市卫生计生委</w:t>
            </w:r>
          </w:p>
        </w:tc>
        <w:tc>
          <w:tcPr>
            <w:tcW w:w="2195" w:type="dxa"/>
            <w:tcBorders>
              <w:top w:val="nil"/>
              <w:left w:val="nil"/>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left"/>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市人力社保局、重庆保监局</w:t>
            </w:r>
          </w:p>
        </w:tc>
        <w:tc>
          <w:tcPr>
            <w:tcW w:w="2732" w:type="dxa"/>
            <w:tcBorders>
              <w:top w:val="nil"/>
              <w:left w:val="nil"/>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left"/>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持续推进。</w:t>
            </w:r>
          </w:p>
        </w:tc>
      </w:tr>
      <w:tr>
        <w:tblPrEx>
          <w:tblCellMar>
            <w:top w:w="75" w:type="dxa"/>
            <w:left w:w="150" w:type="dxa"/>
            <w:bottom w:w="75" w:type="dxa"/>
            <w:right w:w="150" w:type="dxa"/>
          </w:tblCellMar>
        </w:tblPrEx>
        <w:trPr>
          <w:trHeight w:val="425" w:hRule="atLeast"/>
        </w:trPr>
        <w:tc>
          <w:tcPr>
            <w:tcW w:w="532" w:type="dxa"/>
            <w:tcBorders>
              <w:top w:val="nil"/>
              <w:left w:val="single" w:color="auto" w:sz="8" w:space="0"/>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center"/>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12</w:t>
            </w:r>
          </w:p>
        </w:tc>
        <w:tc>
          <w:tcPr>
            <w:tcW w:w="2506" w:type="dxa"/>
            <w:tcBorders>
              <w:top w:val="nil"/>
              <w:left w:val="nil"/>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left"/>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加强保险机构投资养老产业和健康服务业用地保障</w:t>
            </w:r>
          </w:p>
        </w:tc>
        <w:tc>
          <w:tcPr>
            <w:tcW w:w="1413" w:type="dxa"/>
            <w:tcBorders>
              <w:top w:val="nil"/>
              <w:left w:val="nil"/>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left"/>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市国土房管局</w:t>
            </w:r>
          </w:p>
        </w:tc>
        <w:tc>
          <w:tcPr>
            <w:tcW w:w="2195" w:type="dxa"/>
            <w:tcBorders>
              <w:top w:val="nil"/>
              <w:left w:val="nil"/>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left"/>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市规划局</w:t>
            </w:r>
          </w:p>
        </w:tc>
        <w:tc>
          <w:tcPr>
            <w:tcW w:w="2732" w:type="dxa"/>
            <w:tcBorders>
              <w:top w:val="nil"/>
              <w:left w:val="nil"/>
              <w:bottom w:val="single" w:color="auto" w:sz="8" w:space="0"/>
              <w:right w:val="single" w:color="auto" w:sz="8" w:space="0"/>
            </w:tcBorders>
            <w:tcMar>
              <w:top w:w="0" w:type="dxa"/>
              <w:left w:w="28" w:type="dxa"/>
              <w:bottom w:w="0" w:type="dxa"/>
              <w:right w:w="28" w:type="dxa"/>
            </w:tcMar>
            <w:vAlign w:val="center"/>
          </w:tcPr>
          <w:p>
            <w:pPr>
              <w:keepNext w:val="0"/>
              <w:keepLines w:val="0"/>
              <w:pageBreakBefore w:val="0"/>
              <w:widowControl/>
              <w:kinsoku/>
              <w:wordWrap w:val="0"/>
              <w:overflowPunct/>
              <w:topLinePunct w:val="0"/>
              <w:autoSpaceDE/>
              <w:autoSpaceDN/>
              <w:bidi w:val="0"/>
              <w:adjustRightInd/>
              <w:snapToGrid/>
              <w:spacing w:line="600" w:lineRule="exact"/>
              <w:jc w:val="left"/>
              <w:textAlignment w:val="auto"/>
              <w:rPr>
                <w:rFonts w:hint="eastAsia" w:ascii="方正仿宋_GBK" w:hAnsi="Arial" w:eastAsia="方正仿宋_GBK" w:cs="Arial"/>
                <w:color w:val="000000"/>
                <w:kern w:val="0"/>
                <w:sz w:val="28"/>
                <w:szCs w:val="27"/>
              </w:rPr>
            </w:pPr>
            <w:r>
              <w:rPr>
                <w:rFonts w:hint="eastAsia" w:ascii="方正仿宋_GBK" w:hAnsi="Arial" w:eastAsia="方正仿宋_GBK" w:cs="Arial"/>
                <w:color w:val="000000"/>
                <w:kern w:val="0"/>
                <w:sz w:val="28"/>
              </w:rPr>
              <w:t>持续推进。</w:t>
            </w:r>
          </w:p>
        </w:tc>
      </w:tr>
    </w:tbl>
    <w:p>
      <w:pPr>
        <w:keepNext w:val="0"/>
        <w:keepLines w:val="0"/>
        <w:pageBreakBefore w:val="0"/>
        <w:widowControl/>
        <w:kinsoku/>
        <w:overflowPunct/>
        <w:topLinePunct w:val="0"/>
        <w:autoSpaceDE/>
        <w:autoSpaceDN/>
        <w:bidi w:val="0"/>
        <w:adjustRightInd/>
        <w:snapToGrid/>
        <w:spacing w:before="100" w:beforeAutospacing="1" w:after="100" w:afterAutospacing="1" w:line="600" w:lineRule="exact"/>
        <w:ind w:firstLine="632"/>
        <w:jc w:val="left"/>
        <w:textAlignment w:val="auto"/>
        <w:rPr>
          <w:rFonts w:hint="eastAsia" w:ascii="方正仿宋_GBK" w:hAnsi="Arial" w:eastAsia="方正仿宋_GBK" w:cs="Arial"/>
          <w:color w:val="000000"/>
          <w:kern w:val="0"/>
          <w:sz w:val="27"/>
          <w:szCs w:val="27"/>
        </w:rPr>
      </w:pPr>
      <w:r>
        <w:rPr>
          <w:rFonts w:hint="eastAsia" w:ascii="方正仿宋_GBK" w:hAnsi="Arial" w:eastAsia="方正仿宋_GBK" w:cs="Arial"/>
          <w:color w:val="000000"/>
          <w:kern w:val="0"/>
          <w:sz w:val="27"/>
          <w:szCs w:val="27"/>
        </w:rPr>
        <w:t> </w:t>
      </w:r>
    </w:p>
    <w:p>
      <w:pPr>
        <w:keepNext w:val="0"/>
        <w:keepLines w:val="0"/>
        <w:pageBreakBefore w:val="0"/>
        <w:widowControl/>
        <w:kinsoku/>
        <w:overflowPunct/>
        <w:topLinePunct w:val="0"/>
        <w:autoSpaceDE/>
        <w:autoSpaceDN/>
        <w:bidi w:val="0"/>
        <w:adjustRightInd/>
        <w:snapToGrid/>
        <w:spacing w:before="100" w:beforeAutospacing="1" w:after="100" w:afterAutospacing="1" w:line="600" w:lineRule="exact"/>
        <w:ind w:firstLine="632"/>
        <w:jc w:val="left"/>
        <w:textAlignment w:val="auto"/>
        <w:rPr>
          <w:rFonts w:hint="eastAsia" w:ascii="方正仿宋_GBK" w:hAnsi="Arial" w:eastAsia="方正仿宋_GBK" w:cs="Arial"/>
          <w:color w:val="000000"/>
          <w:kern w:val="0"/>
          <w:sz w:val="27"/>
          <w:szCs w:val="27"/>
        </w:rPr>
      </w:pPr>
      <w:r>
        <w:rPr>
          <w:rFonts w:hint="eastAsia" w:ascii="方正仿宋_GBK" w:hAnsi="Arial" w:eastAsia="方正仿宋_GBK" w:cs="Arial"/>
          <w:color w:val="000000"/>
          <w:kern w:val="0"/>
          <w:sz w:val="27"/>
          <w:szCs w:val="27"/>
        </w:rPr>
        <w:t> </w:t>
      </w:r>
    </w:p>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eastAsia="方正仿宋_GBK"/>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6"/>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重庆市人民政府办公厅发布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人民政府办公厅行政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lNDJlYmQxZTNkOWYyODJlNTQ0MjQ1ZDEyNWEwOGMifQ=="/>
  </w:docVars>
  <w:rsids>
    <w:rsidRoot w:val="00172A27"/>
    <w:rsid w:val="000051D2"/>
    <w:rsid w:val="00011FD5"/>
    <w:rsid w:val="000155A8"/>
    <w:rsid w:val="00043941"/>
    <w:rsid w:val="00073CCE"/>
    <w:rsid w:val="000902EC"/>
    <w:rsid w:val="00136D11"/>
    <w:rsid w:val="001370F1"/>
    <w:rsid w:val="00144BFE"/>
    <w:rsid w:val="00150CF8"/>
    <w:rsid w:val="00172A27"/>
    <w:rsid w:val="001975B8"/>
    <w:rsid w:val="001B4092"/>
    <w:rsid w:val="001E0F3A"/>
    <w:rsid w:val="00225703"/>
    <w:rsid w:val="002518FF"/>
    <w:rsid w:val="002807EA"/>
    <w:rsid w:val="00332C01"/>
    <w:rsid w:val="00352CA2"/>
    <w:rsid w:val="003632FE"/>
    <w:rsid w:val="00363349"/>
    <w:rsid w:val="00376B7A"/>
    <w:rsid w:val="00376D4F"/>
    <w:rsid w:val="003874BA"/>
    <w:rsid w:val="003A4F61"/>
    <w:rsid w:val="003D1416"/>
    <w:rsid w:val="0042325C"/>
    <w:rsid w:val="00461CB3"/>
    <w:rsid w:val="00474542"/>
    <w:rsid w:val="00522371"/>
    <w:rsid w:val="00534151"/>
    <w:rsid w:val="00580093"/>
    <w:rsid w:val="00614105"/>
    <w:rsid w:val="0061665C"/>
    <w:rsid w:val="006E4030"/>
    <w:rsid w:val="00702245"/>
    <w:rsid w:val="007057DF"/>
    <w:rsid w:val="00714AC6"/>
    <w:rsid w:val="007168D8"/>
    <w:rsid w:val="00725454"/>
    <w:rsid w:val="00730647"/>
    <w:rsid w:val="007341D3"/>
    <w:rsid w:val="00752F89"/>
    <w:rsid w:val="007A47A2"/>
    <w:rsid w:val="007B59AA"/>
    <w:rsid w:val="007F5B84"/>
    <w:rsid w:val="008005E6"/>
    <w:rsid w:val="00810B30"/>
    <w:rsid w:val="008239BE"/>
    <w:rsid w:val="008352E7"/>
    <w:rsid w:val="008808FF"/>
    <w:rsid w:val="009111BD"/>
    <w:rsid w:val="00954C93"/>
    <w:rsid w:val="00973D75"/>
    <w:rsid w:val="009E7D10"/>
    <w:rsid w:val="009F238C"/>
    <w:rsid w:val="009F39E9"/>
    <w:rsid w:val="00A030C9"/>
    <w:rsid w:val="00A563BF"/>
    <w:rsid w:val="00A75016"/>
    <w:rsid w:val="00B21633"/>
    <w:rsid w:val="00B22F3E"/>
    <w:rsid w:val="00B300E8"/>
    <w:rsid w:val="00B55A7F"/>
    <w:rsid w:val="00B637DB"/>
    <w:rsid w:val="00B63AB2"/>
    <w:rsid w:val="00B64336"/>
    <w:rsid w:val="00C0742E"/>
    <w:rsid w:val="00C80418"/>
    <w:rsid w:val="00CA2735"/>
    <w:rsid w:val="00CB5FFC"/>
    <w:rsid w:val="00CD0081"/>
    <w:rsid w:val="00D23219"/>
    <w:rsid w:val="00D956F9"/>
    <w:rsid w:val="00DA6668"/>
    <w:rsid w:val="00DB6220"/>
    <w:rsid w:val="00DC2C02"/>
    <w:rsid w:val="00DF28C4"/>
    <w:rsid w:val="00E014F5"/>
    <w:rsid w:val="00E275D4"/>
    <w:rsid w:val="00E51E23"/>
    <w:rsid w:val="00EC32F3"/>
    <w:rsid w:val="00EF19D6"/>
    <w:rsid w:val="00F06A06"/>
    <w:rsid w:val="00F53195"/>
    <w:rsid w:val="00F621BB"/>
    <w:rsid w:val="00F65A14"/>
    <w:rsid w:val="00F7259C"/>
    <w:rsid w:val="00FA2D2D"/>
    <w:rsid w:val="00FA754C"/>
    <w:rsid w:val="00FB1966"/>
    <w:rsid w:val="00FC482E"/>
    <w:rsid w:val="00FE5753"/>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6E80DDF"/>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3"/>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Autospacing="1" w:afterAutospacing="1"/>
      <w:jc w:val="left"/>
    </w:pPr>
    <w:rPr>
      <w:rFonts w:cs="Times New Roman"/>
      <w:kern w:val="0"/>
      <w:sz w:val="24"/>
    </w:rPr>
  </w:style>
  <w:style w:type="character" w:styleId="10">
    <w:name w:val="Strong"/>
    <w:basedOn w:val="9"/>
    <w:qFormat/>
    <w:uiPriority w:val="22"/>
    <w:rPr>
      <w:b/>
      <w:bCs/>
    </w:rPr>
  </w:style>
  <w:style w:type="character" w:styleId="11">
    <w:name w:val="Hyperlink"/>
    <w:basedOn w:val="9"/>
    <w:unhideWhenUsed/>
    <w:qFormat/>
    <w:uiPriority w:val="99"/>
    <w:rPr>
      <w:color w:val="0000FF"/>
      <w:u w:val="single"/>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日期 字符"/>
    <w:basedOn w:val="9"/>
    <w:link w:val="4"/>
    <w:qFormat/>
    <w:uiPriority w:val="0"/>
    <w:rPr>
      <w:rFonts w:asciiTheme="minorHAnsi" w:hAnsiTheme="minorHAnsi" w:eastAsiaTheme="minorEastAsia" w:cstheme="minorBidi"/>
      <w:kern w:val="2"/>
      <w:sz w:val="21"/>
      <w:szCs w:val="24"/>
    </w:rPr>
  </w:style>
  <w:style w:type="paragraph" w:customStyle="1" w:styleId="14">
    <w:name w:val="msonormal"/>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3488</Words>
  <Characters>3520</Characters>
  <Lines>25</Lines>
  <Paragraphs>7</Paragraphs>
  <TotalTime>6</TotalTime>
  <ScaleCrop>false</ScaleCrop>
  <LinksUpToDate>false</LinksUpToDate>
  <CharactersWithSpaces>3530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2022-07-28T09:21:00Z</dcterms:created>
  <dc:creator>t</dc:creator>
  <cp:lastModifiedBy>娴静犹如花照水</cp:lastModifiedBy>
  <cp:lastPrinted>2022-07-28T09:20:00Z</cp:lastPrinted>
  <dcterms:modified xsi:type="dcterms:W3CDTF">2023-02-23T01:45:21Z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48C61CB29D3F4D9384F5922CF0F7FFB4</vt:lpwstr>
  </property>
</Properties>
</file>