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both"/>
        <w:rPr>
          <w:rFonts w:ascii="Times New Roman" w:hAnsi="Times New 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Times New Roman" w:hAnsi="Times New 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both"/>
        <w:rPr>
          <w:rFonts w:ascii="Times New Roman" w:hAnsi="Times New Roman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重庆市人民政府办公厅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关于印发2022年度重庆市人民政府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重大行政决策事项目录的通知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20"/>
          <w:lang w:val="en-US" w:eastAsia="zh-CN" w:bidi="ar"/>
        </w:rPr>
        <w:t>渝府办发〔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2022</w:t>
      </w:r>
      <w:r>
        <w:rPr>
          <w:rFonts w:hint="eastAsia" w:ascii="Times New Roman" w:hAnsi="Times New Roman" w:eastAsia="方正仿宋_GBK" w:cs="方正仿宋_GBK"/>
          <w:kern w:val="2"/>
          <w:sz w:val="32"/>
          <w:szCs w:val="20"/>
          <w:lang w:val="en-US" w:eastAsia="zh-CN" w:bidi="ar"/>
        </w:rPr>
        <w:t>〕</w:t>
      </w:r>
      <w:r>
        <w:rPr>
          <w:rFonts w:hint="eastAsia" w:ascii="Times New Roman" w:hAnsi="Times New Roman" w:cs="方正仿宋_GBK"/>
          <w:kern w:val="2"/>
          <w:sz w:val="32"/>
          <w:szCs w:val="20"/>
          <w:lang w:val="en-US" w:eastAsia="zh-CN" w:bidi="ar"/>
        </w:rPr>
        <w:t>75</w:t>
      </w:r>
      <w:r>
        <w:rPr>
          <w:rFonts w:hint="eastAsia" w:ascii="Times New Roman" w:hAnsi="Times New Roman" w:eastAsia="方正仿宋_GBK" w:cs="方正仿宋_GBK"/>
          <w:kern w:val="2"/>
          <w:sz w:val="32"/>
          <w:szCs w:val="20"/>
          <w:lang w:val="en-US" w:eastAsia="zh-CN" w:bidi="ar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各区县（自治县）人民政府，市政府各部门，有关单位：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根据《重大行政决策程序暂行条例》（国务院令第713号）、《重庆市重大行政决策程序规定》（重庆市人民政府令第337号）等规定，经市委、市政府同意，现将《2022年度重庆市人民政府重大行政决策事项目录》（以下简称《目录》）印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一、各承办单位要细化任务安排，明确工作责任，严格履行重大行政决策法定程序，确保按时保质完成决策事项。未严格履行法定程序的事项，不得提请市政府常务会议审议。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二、各承办单位要认真落实重大行政决策预公开制度，除依法不予公开的决策事项外，在决策前应公布决策草案及其说明等材料，明确提出意见的方式和期限，采取便于社会公众参与的方式充分听取意见，并以适当方式公布意见收集和采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三、</w:t>
      </w:r>
      <w:r>
        <w:rPr>
          <w:rFonts w:hint="eastAsia" w:ascii="Times New Roman" w:hAnsi="Times New Roman"/>
          <w:spacing w:val="-3"/>
          <w:sz w:val="32"/>
          <w:szCs w:val="32"/>
        </w:rPr>
        <w:t>市司法局要加强合法性审查，及时提出合法性审查意见，</w:t>
      </w:r>
      <w:r>
        <w:rPr>
          <w:rFonts w:hint="eastAsia" w:ascii="Times New Roman" w:hAnsi="Times New Roman"/>
          <w:sz w:val="32"/>
          <w:szCs w:val="32"/>
        </w:rPr>
        <w:t>并加强对各承办单位履行法定程序的指导。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四、</w:t>
      </w:r>
      <w:r>
        <w:rPr>
          <w:rFonts w:hint="eastAsia" w:ascii="Times New Roman" w:hAnsi="Times New Roman"/>
          <w:spacing w:val="-5"/>
          <w:sz w:val="32"/>
          <w:szCs w:val="32"/>
        </w:rPr>
        <w:t>《目录》实行动态管理，根据实际情况，确需调整或新增</w:t>
      </w:r>
      <w:r>
        <w:rPr>
          <w:rFonts w:hint="eastAsia" w:ascii="Times New Roman" w:hAnsi="Times New Roman"/>
          <w:spacing w:val="-4"/>
          <w:sz w:val="32"/>
          <w:szCs w:val="32"/>
        </w:rPr>
        <w:t>的重大行政决策事项，承办单位要认真研究论证，提出调整建议，</w:t>
      </w:r>
      <w:r>
        <w:rPr>
          <w:rFonts w:hint="eastAsia" w:ascii="Times New Roman" w:hAnsi="Times New Roman"/>
          <w:sz w:val="32"/>
          <w:szCs w:val="32"/>
        </w:rPr>
        <w:t>按程序报批后执行。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五、各区县（自治县）人民政府、市政府各部门要按照《重庆市重大行政决策程序规定》要求，制定本地区、本部门重大行政决策事项目录。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 w:firstLine="632" w:firstLineChars="200"/>
        <w:jc w:val="both"/>
        <w:rPr>
          <w:rFonts w:ascii="Times New Roman" w:hAnsi="Times New Roman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48" w:beforeLines="20" w:beforeAutospacing="0" w:after="0" w:afterAutospacing="0"/>
        <w:ind w:left="0" w:right="0" w:firstLine="632" w:firstLineChars="200"/>
        <w:jc w:val="both"/>
        <w:rPr>
          <w:rFonts w:ascii="Times New Roman" w:hAnsi="Times New Roman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leftChars="0" w:right="594" w:rightChars="188" w:firstLine="4797" w:firstLineChars="1518"/>
        <w:jc w:val="both"/>
        <w:rPr>
          <w:rFonts w:ascii="Times New Roman" w:hAnsi="Times New Roman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重庆市人民政府办公厅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1264" w:rightChars="400" w:firstLine="632" w:firstLineChars="200"/>
        <w:jc w:val="right"/>
        <w:rPr>
          <w:rFonts w:ascii="Times New Roman" w:hAnsi="Times New Roman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29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年度重庆市人民政府重大行政决策事项目录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_GBK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912"/>
        <w:gridCol w:w="2088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58" w:leftChars="-50" w:right="-158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决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策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承办单位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决策时间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重庆市碳达峰实施方案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市发展改革委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2022年5月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关于新时代振兴重庆高等教育的若干措施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市教委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2022年3月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3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关于进一步支持大学生创新创业的实施意见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市教委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4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重庆市最低生活保障条件认定办法（修订）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市民政局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5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低保等社会救助保障标准调整方案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市民政局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2022年8月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6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关于进一步加强未成年人保护工作的意见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市民政局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2022年8月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7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关于深化改革推动新时代殡葬事业健康发展的实施意见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市民政局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2022年12月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8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关于推进重庆市慈善事业高质量发展的实施意见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市民政局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2022年12月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9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关于在城乡规划建设中加强历史文化保护传承的实施意见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市规划自然资源局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10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重庆市国土空间总体规划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  <w:t>2021—2035年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市规划自然资源局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2022年8月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11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pacing w:val="-2"/>
                <w:sz w:val="24"/>
                <w:szCs w:val="24"/>
              </w:rPr>
              <w:t>关于加强节约集约用地促进高质量发展的意见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市规划自然资源局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2022年12月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12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重庆市城市更新与提升“十四五”行动计划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市住房城乡建委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13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pacing w:val="-1"/>
                <w:sz w:val="24"/>
                <w:szCs w:val="24"/>
              </w:rPr>
              <w:t>重庆市深化水利投融资改革创新十条政策措施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市水利局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14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重庆市小水电生态流量监管办法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市水利局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2022年8月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15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重庆市乡村产业发展规划（2021—2025年）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市农业农村委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16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关于推动住宿业规范发展的意见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市商务委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17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重特大疾病医疗保险和救助制度实施意见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市医保局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2022年6月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CA51852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2914AEC"/>
    <w:rsid w:val="09306D28"/>
    <w:rsid w:val="0CA51852"/>
    <w:rsid w:val="20865BE0"/>
    <w:rsid w:val="422B7480"/>
    <w:rsid w:val="5404306B"/>
    <w:rsid w:val="63B41F9A"/>
    <w:rsid w:val="65C45734"/>
    <w:rsid w:val="65F92AEB"/>
    <w:rsid w:val="6C193336"/>
    <w:rsid w:val="713F0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uiPriority w:val="0"/>
    <w:pPr>
      <w:spacing w:line="500" w:lineRule="exact"/>
      <w:ind w:firstLine="420"/>
    </w:pPr>
    <w:rPr>
      <w:rFonts w:ascii="Times New Roman" w:hAnsi="Times New Roman" w:eastAsia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1148</Words>
  <Characters>1246</Characters>
  <Lines>1</Lines>
  <Paragraphs>1</Paragraphs>
  <TotalTime>0</TotalTime>
  <ScaleCrop>false</ScaleCrop>
  <LinksUpToDate>false</LinksUpToDate>
  <CharactersWithSpaces>1277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2022-07-01T02:50:00Z</dcterms:created>
  <dc:creator>Administrator</dc:creator>
  <cp:lastModifiedBy>托雷斯</cp:lastModifiedBy>
  <dcterms:modified xsi:type="dcterms:W3CDTF">2022-07-05T11:16:18Z</dcterms:modified>
  <dc:title>渝府办发〔2022〕75号</dc:title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51D85953EC584E17A1ECEB05CDC0EAB4</vt:lpwstr>
  </property>
</Properties>
</file>