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EF1E7">
      <w:pPr>
        <w:rPr>
          <w:rFonts w:hint="eastAsia"/>
        </w:rPr>
      </w:pPr>
    </w:p>
    <w:p w14:paraId="69B2F3CF">
      <w:pPr>
        <w:adjustRightInd/>
        <w:spacing w:line="580" w:lineRule="exact"/>
        <w:jc w:val="center"/>
        <w:rPr>
          <w:rFonts w:hint="eastAsia" w:eastAsia="方正小标宋_GBK" w:cs="方正小标宋_GBK"/>
          <w:bCs/>
          <w:color w:val="000000"/>
          <w:sz w:val="44"/>
          <w:szCs w:val="24"/>
        </w:rPr>
      </w:pPr>
      <w:r>
        <w:rPr>
          <w:rFonts w:hint="eastAsia" w:eastAsia="方正小标宋_GBK" w:cs="方正小标宋_GBK"/>
          <w:bCs/>
          <w:color w:val="000000"/>
          <w:sz w:val="44"/>
          <w:szCs w:val="24"/>
        </w:rPr>
        <w:t>重庆市人民政府办公厅</w:t>
      </w:r>
    </w:p>
    <w:p w14:paraId="6C809F74">
      <w:pPr>
        <w:adjustRightInd/>
        <w:spacing w:line="580" w:lineRule="exact"/>
        <w:jc w:val="center"/>
        <w:rPr>
          <w:rFonts w:hint="eastAsia" w:eastAsia="方正小标宋_GBK" w:cs="方正小标宋_GBK"/>
          <w:bCs/>
          <w:color w:val="000000"/>
          <w:sz w:val="44"/>
          <w:szCs w:val="24"/>
        </w:rPr>
      </w:pPr>
      <w:r>
        <w:rPr>
          <w:rFonts w:hint="eastAsia" w:eastAsia="方正小标宋_GBK" w:cs="方正小标宋_GBK"/>
          <w:bCs/>
          <w:color w:val="000000"/>
          <w:sz w:val="44"/>
          <w:szCs w:val="24"/>
        </w:rPr>
        <w:t>关于印发重庆市能源发展“十四五”规划</w:t>
      </w:r>
    </w:p>
    <w:p w14:paraId="6245A20F">
      <w:pPr>
        <w:adjustRightInd/>
        <w:spacing w:line="580" w:lineRule="exact"/>
        <w:jc w:val="center"/>
        <w:rPr>
          <w:rFonts w:hint="eastAsia" w:eastAsia="方正小标宋_GBK" w:cs="方正小标宋_GBK"/>
          <w:bCs/>
          <w:color w:val="000000"/>
          <w:sz w:val="44"/>
          <w:szCs w:val="24"/>
        </w:rPr>
      </w:pPr>
      <w:r>
        <w:rPr>
          <w:rFonts w:hint="eastAsia" w:eastAsia="方正小标宋_GBK"/>
          <w:sz w:val="44"/>
          <w:szCs w:val="44"/>
        </w:rPr>
        <w:t>（2021—2025年）</w:t>
      </w:r>
      <w:r>
        <w:rPr>
          <w:rFonts w:hint="eastAsia" w:eastAsia="方正小标宋_GBK" w:cs="方正小标宋_GBK"/>
          <w:bCs/>
          <w:color w:val="000000"/>
          <w:sz w:val="44"/>
          <w:szCs w:val="24"/>
        </w:rPr>
        <w:t>的通知</w:t>
      </w:r>
    </w:p>
    <w:p w14:paraId="3038A7E9">
      <w:pPr>
        <w:adjustRightInd/>
        <w:spacing w:line="240" w:lineRule="auto"/>
        <w:jc w:val="center"/>
        <w:rPr>
          <w:rFonts w:eastAsia="宋体"/>
          <w:color w:val="000000"/>
        </w:rPr>
      </w:pPr>
      <w:r>
        <w:rPr>
          <w:rFonts w:hint="eastAsia" w:eastAsia="宋体"/>
          <w:color w:val="000000"/>
        </w:rPr>
        <w:t>渝府办发〔2022〕48号</w:t>
      </w:r>
    </w:p>
    <w:p w14:paraId="68D28463">
      <w:pPr>
        <w:adjustRightInd/>
        <w:spacing w:line="240" w:lineRule="auto"/>
        <w:jc w:val="center"/>
        <w:rPr>
          <w:rFonts w:hint="eastAsia" w:eastAsia="宋体"/>
          <w:color w:val="000000"/>
        </w:rPr>
      </w:pPr>
    </w:p>
    <w:p w14:paraId="464210CA">
      <w:pPr>
        <w:overflowPunct w:val="0"/>
        <w:autoSpaceDE w:val="0"/>
        <w:autoSpaceDN w:val="0"/>
        <w:adjustRightInd/>
        <w:spacing w:line="240" w:lineRule="auto"/>
        <w:textAlignment w:val="auto"/>
        <w:rPr>
          <w:rFonts w:cs="方正仿宋_GBK"/>
          <w:color w:val="000000"/>
        </w:rPr>
      </w:pPr>
      <w:r>
        <w:rPr>
          <w:rFonts w:hint="eastAsia" w:cs="方正仿宋_GBK"/>
          <w:color w:val="000000"/>
        </w:rPr>
        <w:t>各区县（自治县）人民政府，市政府有关部门：</w:t>
      </w:r>
    </w:p>
    <w:p w14:paraId="48668817">
      <w:pPr>
        <w:overflowPunct w:val="0"/>
        <w:autoSpaceDE w:val="0"/>
        <w:autoSpaceDN w:val="0"/>
        <w:adjustRightInd/>
        <w:spacing w:line="240" w:lineRule="auto"/>
        <w:ind w:firstLine="632" w:firstLineChars="200"/>
        <w:textAlignment w:val="auto"/>
        <w:rPr>
          <w:rFonts w:hint="eastAsia" w:cs="方正仿宋_GBK"/>
          <w:color w:val="000000"/>
        </w:rPr>
      </w:pPr>
      <w:r>
        <w:rPr>
          <w:rFonts w:hint="eastAsia" w:cs="方正仿宋_GBK"/>
          <w:color w:val="000000"/>
        </w:rPr>
        <w:t>《重庆市能源发展“十四五”规划</w:t>
      </w:r>
      <w:r>
        <w:rPr>
          <w:rFonts w:hint="eastAsia"/>
        </w:rPr>
        <w:t>（2021—2025年）</w:t>
      </w:r>
      <w:r>
        <w:rPr>
          <w:rFonts w:hint="eastAsia" w:cs="方正仿宋_GBK"/>
          <w:color w:val="000000"/>
        </w:rPr>
        <w:t>》</w:t>
      </w:r>
      <w:r>
        <w:rPr>
          <w:rFonts w:hint="eastAsia"/>
        </w:rPr>
        <w:t>已经市政府同意，现印发给你们，请认真贯彻执行。</w:t>
      </w:r>
    </w:p>
    <w:p w14:paraId="6B27915A">
      <w:pPr>
        <w:pStyle w:val="2"/>
        <w:rPr>
          <w:rFonts w:hint="eastAsia" w:cs="方正仿宋_GBK"/>
        </w:rPr>
      </w:pPr>
    </w:p>
    <w:p w14:paraId="43D0CF49">
      <w:pPr>
        <w:rPr>
          <w:rFonts w:hint="eastAsia" w:cs="方正仿宋_GBK"/>
          <w:color w:val="000000"/>
        </w:rPr>
      </w:pPr>
    </w:p>
    <w:p w14:paraId="309C77B0">
      <w:pPr>
        <w:overflowPunct w:val="0"/>
        <w:adjustRightInd/>
        <w:spacing w:line="240" w:lineRule="auto"/>
        <w:ind w:firstLine="4822" w:firstLineChars="1526"/>
        <w:rPr>
          <w:rFonts w:hint="eastAsia"/>
          <w:color w:val="000000"/>
        </w:rPr>
      </w:pPr>
      <w:r>
        <w:rPr>
          <w:rFonts w:hint="eastAsia"/>
          <w:color w:val="000000"/>
        </w:rPr>
        <w:t>重庆市人民政府办公厅</w:t>
      </w:r>
    </w:p>
    <w:p w14:paraId="2AD6E53B">
      <w:pPr>
        <w:wordWrap w:val="0"/>
        <w:overflowPunct w:val="0"/>
        <w:adjustRightInd/>
        <w:spacing w:line="240" w:lineRule="auto"/>
        <w:ind w:firstLine="632" w:firstLineChars="200"/>
        <w:jc w:val="right"/>
        <w:rPr>
          <w:color w:val="000000"/>
        </w:rPr>
      </w:pPr>
      <w:r>
        <w:rPr>
          <w:rFonts w:hint="eastAsia"/>
          <w:color w:val="000000"/>
        </w:rPr>
        <w:t>2022年</w:t>
      </w:r>
      <w:r>
        <w:rPr>
          <w:rFonts w:hint="eastAsia"/>
          <w:color w:val="000000"/>
          <w:lang w:val="en-US" w:eastAsia="zh-CN"/>
        </w:rPr>
        <w:t>6</w:t>
      </w:r>
      <w:r>
        <w:rPr>
          <w:rFonts w:hint="eastAsia"/>
          <w:color w:val="000000"/>
        </w:rPr>
        <w:t>月</w:t>
      </w:r>
      <w:r>
        <w:rPr>
          <w:rFonts w:hint="eastAsia"/>
          <w:color w:val="000000"/>
          <w:lang w:val="en-US" w:eastAsia="zh-CN"/>
        </w:rPr>
        <w:t>11</w:t>
      </w:r>
      <w:r>
        <w:rPr>
          <w:rFonts w:hint="eastAsia"/>
          <w:color w:val="000000"/>
        </w:rPr>
        <w:t xml:space="preserve">日        </w:t>
      </w:r>
    </w:p>
    <w:p w14:paraId="16B773A7">
      <w:pPr>
        <w:rPr>
          <w:color w:val="000000"/>
        </w:rPr>
      </w:pPr>
    </w:p>
    <w:p w14:paraId="28E5D88E">
      <w:pPr>
        <w:rPr>
          <w:rFonts w:hint="eastAsia" w:eastAsia="方正黑体_GBK"/>
        </w:rPr>
      </w:pPr>
    </w:p>
    <w:p w14:paraId="6E8BEE15">
      <w:pPr>
        <w:rPr>
          <w:rFonts w:hint="eastAsia" w:eastAsia="方正黑体_GBK"/>
        </w:rPr>
      </w:pPr>
    </w:p>
    <w:p w14:paraId="6C25192B">
      <w:pPr>
        <w:rPr>
          <w:rFonts w:hint="eastAsia"/>
        </w:rPr>
      </w:pPr>
    </w:p>
    <w:p w14:paraId="45E75BDF">
      <w:pPr>
        <w:rPr>
          <w:rFonts w:hint="eastAsia"/>
        </w:rPr>
      </w:pPr>
    </w:p>
    <w:p w14:paraId="06949DD2">
      <w:pPr>
        <w:spacing w:line="720" w:lineRule="exact"/>
        <w:rPr>
          <w:rFonts w:hint="eastAsia"/>
        </w:rPr>
      </w:pPr>
    </w:p>
    <w:p w14:paraId="7D68C00A">
      <w:pPr>
        <w:rPr>
          <w:rFonts w:hint="eastAsia"/>
        </w:rPr>
      </w:pPr>
    </w:p>
    <w:p w14:paraId="3C6FD592">
      <w:pPr>
        <w:rPr>
          <w:rFonts w:hint="eastAsia"/>
        </w:rPr>
      </w:pPr>
    </w:p>
    <w:p w14:paraId="5FA4B973">
      <w:pPr>
        <w:spacing w:line="590" w:lineRule="exact"/>
        <w:jc w:val="center"/>
        <w:rPr>
          <w:rFonts w:hint="eastAsia" w:eastAsia="方正小标宋_GBK"/>
          <w:sz w:val="44"/>
          <w:szCs w:val="44"/>
        </w:rPr>
      </w:pPr>
      <w:r>
        <w:rPr>
          <w:rFonts w:hint="eastAsia" w:eastAsia="方正小标宋_GBK"/>
          <w:sz w:val="44"/>
          <w:szCs w:val="44"/>
        </w:rPr>
        <w:t>重庆市能源发展“十四五”规划</w:t>
      </w:r>
    </w:p>
    <w:p w14:paraId="255428C5">
      <w:pPr>
        <w:spacing w:line="590" w:lineRule="exact"/>
        <w:jc w:val="center"/>
        <w:rPr>
          <w:rFonts w:hint="eastAsia"/>
        </w:rPr>
      </w:pPr>
      <w:r>
        <w:rPr>
          <w:rFonts w:hint="eastAsia"/>
        </w:rPr>
        <w:t>（2021—2025年）</w:t>
      </w:r>
    </w:p>
    <w:p w14:paraId="57D95A9E">
      <w:pPr>
        <w:spacing w:line="590" w:lineRule="exact"/>
        <w:jc w:val="center"/>
        <w:rPr>
          <w:rFonts w:hint="eastAsia" w:ascii="方正楷体_GBK" w:hAnsi="方正楷体_GBK" w:eastAsia="方正楷体_GBK" w:cs="方正楷体_GBK"/>
        </w:rPr>
      </w:pPr>
    </w:p>
    <w:p w14:paraId="57ED1C1E">
      <w:pPr>
        <w:spacing w:line="590" w:lineRule="exact"/>
        <w:jc w:val="center"/>
        <w:rPr>
          <w:rFonts w:hint="eastAsia"/>
        </w:rPr>
      </w:pPr>
    </w:p>
    <w:p w14:paraId="28795500">
      <w:pPr>
        <w:spacing w:line="590" w:lineRule="exact"/>
        <w:jc w:val="center"/>
        <w:rPr>
          <w:rFonts w:hint="eastAsia"/>
        </w:rPr>
      </w:pPr>
    </w:p>
    <w:p w14:paraId="7408824D">
      <w:pPr>
        <w:spacing w:line="590" w:lineRule="exact"/>
        <w:jc w:val="center"/>
        <w:rPr>
          <w:rFonts w:hint="eastAsia"/>
        </w:rPr>
      </w:pPr>
    </w:p>
    <w:p w14:paraId="2F862B24">
      <w:pPr>
        <w:spacing w:line="590" w:lineRule="exact"/>
        <w:jc w:val="center"/>
        <w:rPr>
          <w:rFonts w:hint="eastAsia"/>
        </w:rPr>
      </w:pPr>
    </w:p>
    <w:p w14:paraId="00A296FF">
      <w:pPr>
        <w:spacing w:line="590" w:lineRule="exact"/>
        <w:jc w:val="center"/>
        <w:rPr>
          <w:rFonts w:hint="eastAsia"/>
        </w:rPr>
      </w:pPr>
    </w:p>
    <w:p w14:paraId="37299654">
      <w:pPr>
        <w:spacing w:line="590" w:lineRule="exact"/>
        <w:jc w:val="center"/>
        <w:rPr>
          <w:rFonts w:hint="eastAsia"/>
        </w:rPr>
      </w:pPr>
    </w:p>
    <w:p w14:paraId="51E248FC">
      <w:pPr>
        <w:spacing w:line="590" w:lineRule="exact"/>
        <w:jc w:val="center"/>
        <w:rPr>
          <w:rFonts w:hint="eastAsia"/>
        </w:rPr>
      </w:pPr>
    </w:p>
    <w:p w14:paraId="059DA0C1">
      <w:pPr>
        <w:spacing w:line="590" w:lineRule="exact"/>
        <w:jc w:val="center"/>
        <w:rPr>
          <w:rFonts w:hint="eastAsia"/>
        </w:rPr>
      </w:pPr>
    </w:p>
    <w:p w14:paraId="525DC3E6">
      <w:pPr>
        <w:spacing w:line="590" w:lineRule="exact"/>
        <w:jc w:val="center"/>
        <w:rPr>
          <w:rFonts w:hint="eastAsia"/>
        </w:rPr>
      </w:pPr>
    </w:p>
    <w:p w14:paraId="5BE492EA">
      <w:pPr>
        <w:spacing w:line="590" w:lineRule="exact"/>
        <w:jc w:val="center"/>
        <w:rPr>
          <w:rFonts w:hint="eastAsia"/>
        </w:rPr>
      </w:pPr>
    </w:p>
    <w:p w14:paraId="3EEB3D47">
      <w:pPr>
        <w:spacing w:line="590" w:lineRule="exact"/>
        <w:jc w:val="center"/>
        <w:rPr>
          <w:rFonts w:hint="eastAsia"/>
        </w:rPr>
      </w:pPr>
    </w:p>
    <w:p w14:paraId="3B5615E6">
      <w:pPr>
        <w:spacing w:line="590" w:lineRule="exact"/>
        <w:jc w:val="center"/>
        <w:rPr>
          <w:rFonts w:hint="eastAsia"/>
        </w:rPr>
      </w:pPr>
    </w:p>
    <w:p w14:paraId="190B0AB2">
      <w:pPr>
        <w:spacing w:line="590" w:lineRule="exact"/>
        <w:jc w:val="center"/>
        <w:rPr>
          <w:rFonts w:hint="eastAsia"/>
        </w:rPr>
      </w:pPr>
    </w:p>
    <w:p w14:paraId="2356CD79">
      <w:pPr>
        <w:spacing w:line="590" w:lineRule="exact"/>
        <w:jc w:val="center"/>
        <w:rPr>
          <w:rFonts w:hint="eastAsia"/>
        </w:rPr>
      </w:pPr>
    </w:p>
    <w:p w14:paraId="15D6A2C6">
      <w:pPr>
        <w:spacing w:line="590" w:lineRule="exact"/>
        <w:jc w:val="center"/>
        <w:rPr>
          <w:rFonts w:hint="eastAsia"/>
        </w:rPr>
      </w:pPr>
    </w:p>
    <w:p w14:paraId="4E5D6533">
      <w:pPr>
        <w:spacing w:line="590" w:lineRule="exact"/>
        <w:jc w:val="center"/>
        <w:rPr>
          <w:rFonts w:hint="eastAsia"/>
        </w:rPr>
      </w:pPr>
    </w:p>
    <w:p w14:paraId="07AE0A0A">
      <w:pPr>
        <w:spacing w:line="590" w:lineRule="exact"/>
        <w:jc w:val="center"/>
        <w:rPr>
          <w:rFonts w:hint="eastAsia"/>
        </w:rPr>
      </w:pPr>
    </w:p>
    <w:p w14:paraId="1B20B0BC">
      <w:pPr>
        <w:spacing w:line="590" w:lineRule="exact"/>
        <w:jc w:val="center"/>
        <w:rPr>
          <w:rFonts w:hint="eastAsia"/>
        </w:rPr>
      </w:pPr>
    </w:p>
    <w:p w14:paraId="04E3CC89">
      <w:pPr>
        <w:adjustRightInd/>
        <w:spacing w:line="240" w:lineRule="auto"/>
        <w:ind w:firstLine="632" w:firstLineChars="200"/>
        <w:textAlignment w:val="auto"/>
        <w:rPr>
          <w:rFonts w:hint="eastAsia"/>
        </w:rPr>
      </w:pPr>
      <w:r>
        <w:rPr>
          <w:rFonts w:hint="eastAsia"/>
        </w:rPr>
        <w:t>为贯彻落实习近平总书记提出的“四个革命、一个合作”能源安全新战略，加快构建清洁低碳、安全高效的现代能源体系，提高能源供给保障能力，根据国家发展改革委、国家能源局《“十四五”现代能源体系规划》和《重庆市国民经济和社会发展第十四个五年规划和二</w:t>
      </w:r>
      <w:r>
        <w:rPr>
          <w:rFonts w:hint="eastAsia"/>
          <w:lang w:val="en-US" w:eastAsia="zh-CN"/>
        </w:rPr>
        <w:t>〇</w:t>
      </w:r>
      <w:r>
        <w:rPr>
          <w:rFonts w:hint="eastAsia"/>
        </w:rPr>
        <w:t>三五年</w:t>
      </w:r>
      <w:bookmarkStart w:id="0" w:name="_GoBack"/>
      <w:bookmarkEnd w:id="0"/>
      <w:r>
        <w:rPr>
          <w:rFonts w:hint="eastAsia"/>
        </w:rPr>
        <w:t>远景目标纲要》，制定本规划。规划期为2021—2025年，展望至2035年。</w:t>
      </w:r>
    </w:p>
    <w:p w14:paraId="0E6E561F">
      <w:pPr>
        <w:adjustRightInd/>
        <w:spacing w:line="240" w:lineRule="auto"/>
        <w:ind w:firstLine="632" w:firstLineChars="200"/>
        <w:textAlignment w:val="auto"/>
        <w:rPr>
          <w:rFonts w:hint="eastAsia" w:eastAsia="方正黑体_GBK"/>
        </w:rPr>
      </w:pPr>
      <w:r>
        <w:rPr>
          <w:rFonts w:hint="eastAsia" w:eastAsia="方正黑体_GBK"/>
        </w:rPr>
        <w:t>一、发展基础</w:t>
      </w:r>
    </w:p>
    <w:p w14:paraId="7191EB0D">
      <w:pPr>
        <w:adjustRightInd/>
        <w:spacing w:line="240" w:lineRule="auto"/>
        <w:ind w:firstLine="632" w:firstLineChars="200"/>
        <w:textAlignment w:val="auto"/>
        <w:rPr>
          <w:rFonts w:hint="eastAsia" w:eastAsia="方正楷体_GBK"/>
        </w:rPr>
      </w:pPr>
      <w:r>
        <w:rPr>
          <w:rFonts w:hint="eastAsia" w:eastAsia="方正楷体_GBK"/>
        </w:rPr>
        <w:t>（一）能源低碳转型成效显著。</w:t>
      </w:r>
    </w:p>
    <w:p w14:paraId="23A014E1">
      <w:pPr>
        <w:adjustRightInd/>
        <w:spacing w:line="240" w:lineRule="auto"/>
        <w:ind w:firstLine="632" w:firstLineChars="200"/>
        <w:textAlignment w:val="auto"/>
        <w:rPr>
          <w:rFonts w:hint="eastAsia"/>
        </w:rPr>
      </w:pPr>
      <w:r>
        <w:rPr>
          <w:rFonts w:hint="eastAsia"/>
        </w:rPr>
        <w:t>“</w:t>
      </w:r>
      <w:r>
        <w:rPr>
          <w:rFonts w:hint="eastAsia"/>
          <w:spacing w:val="-4"/>
        </w:rPr>
        <w:t>十三五”期间，全市煤炭、煤电去产能任务超额完成，退出煤矿407个、去产能4427万吨，完成国家下达目标任务的192.5%；</w:t>
      </w:r>
      <w:r>
        <w:rPr>
          <w:rFonts w:hint="eastAsia"/>
        </w:rPr>
        <w:t>淘汰低效落后煤电机组装机容量超过57万千瓦，全面</w:t>
      </w:r>
      <w:r>
        <w:rPr>
          <w:rFonts w:hint="eastAsia"/>
          <w:spacing w:val="-4"/>
        </w:rPr>
        <w:t>完成装机容量30万千瓦及以上煤电机组超低排放改造。能源消费</w:t>
      </w:r>
      <w:r>
        <w:rPr>
          <w:rFonts w:hint="eastAsia"/>
        </w:rPr>
        <w:t>总量和强度“双控”成绩突出，能源消费总量为8875万吨标准煤，单位GDP能耗累计下降19.4%，单位GDP二氧化碳排放量累计下降23%。能源消费结构加快优化，煤炭消费占比下降为44.3%，较全国平均水平低12.5个百分点；可再生能源在电力消费中占比达到51.4%，风光新能源发电量全额消纳；天然气车船利用规模扩大，</w:t>
      </w:r>
      <w:r>
        <w:rPr>
          <w:rFonts w:hint="eastAsia"/>
          <w:spacing w:val="-4"/>
        </w:rPr>
        <w:t>累计建成运营CNG加气站147座、LNG加注站16座、水上加注</w:t>
      </w:r>
      <w:r>
        <w:rPr>
          <w:rFonts w:hint="eastAsia"/>
        </w:rPr>
        <w:t>码头1个；成品油供应由国IV升级至国VI标准，有效减少机动车尾气污染物排放。</w:t>
      </w:r>
    </w:p>
    <w:p w14:paraId="10576A89">
      <w:pPr>
        <w:adjustRightInd/>
        <w:spacing w:line="240" w:lineRule="auto"/>
        <w:ind w:firstLine="632" w:firstLineChars="200"/>
        <w:textAlignment w:val="auto"/>
        <w:rPr>
          <w:rFonts w:hint="eastAsia" w:eastAsia="方正楷体_GBK"/>
        </w:rPr>
      </w:pPr>
      <w:r>
        <w:rPr>
          <w:rFonts w:hint="eastAsia" w:eastAsia="方正楷体_GBK"/>
        </w:rPr>
        <w:t>（二）能源保障能力持续提升。</w:t>
      </w:r>
    </w:p>
    <w:p w14:paraId="75BE8284">
      <w:pPr>
        <w:adjustRightInd/>
        <w:spacing w:line="240" w:lineRule="auto"/>
        <w:ind w:firstLine="632" w:firstLineChars="200"/>
        <w:textAlignment w:val="auto"/>
        <w:rPr>
          <w:rFonts w:hint="eastAsia"/>
        </w:rPr>
      </w:pPr>
      <w:r>
        <w:rPr>
          <w:rFonts w:hint="eastAsia"/>
        </w:rPr>
        <w:t>2020年，全市电力装机容量达2607万千瓦，较2015年增长23.6%。建成投运川渝第三输电通道、铜梁SVG（动态无功补偿装置）站及渝鄂背靠背工程，川渝、渝鄂电网输电通道综合最大输送能力约750万千瓦。完善“两横三纵”500千伏电网主网架结构，形成以500千伏站点为支撑的220千伏“网格”“环形”分层分区供电格局。全市配电网快速发展，供电可靠率达99.868%，综合电压合格率达99.684%。天然气产量达131.5亿立方米，较2015年提高66%。西南地区首座地下储气库投运，全市输气干线管道达5500公里，输气能力达350亿立方米/年。成品油管道里程达486公里，年供应量达883万吨，市级成品油应急储备规模稳定在15万吨/年。采用“产能置换+保障供给+常态储煤+物流投资”战略合作，“十三五”期间陕西、甘肃、内蒙古、贵州等外煤入渝总量近2亿吨，有效保障全市煤炭供给。</w:t>
      </w:r>
    </w:p>
    <w:p w14:paraId="163F354A">
      <w:pPr>
        <w:adjustRightInd/>
        <w:spacing w:line="240" w:lineRule="auto"/>
        <w:ind w:firstLine="632" w:firstLineChars="200"/>
        <w:textAlignment w:val="auto"/>
        <w:rPr>
          <w:rFonts w:hint="eastAsia" w:eastAsia="方正楷体_GBK"/>
        </w:rPr>
      </w:pPr>
      <w:r>
        <w:rPr>
          <w:rFonts w:hint="eastAsia" w:eastAsia="方正楷体_GBK"/>
        </w:rPr>
        <w:t>（三）能源惠民利民成果丰硕。</w:t>
      </w:r>
    </w:p>
    <w:p w14:paraId="369F0CC6">
      <w:pPr>
        <w:adjustRightInd/>
        <w:spacing w:line="240" w:lineRule="auto"/>
        <w:ind w:firstLine="632" w:firstLineChars="200"/>
        <w:textAlignment w:val="auto"/>
        <w:rPr>
          <w:rFonts w:hint="eastAsia"/>
        </w:rPr>
      </w:pPr>
      <w:r>
        <w:rPr>
          <w:rFonts w:hint="eastAsia"/>
        </w:rPr>
        <w:t>城</w:t>
      </w:r>
      <w:r>
        <w:rPr>
          <w:rFonts w:hint="eastAsia"/>
          <w:spacing w:val="-4"/>
        </w:rPr>
        <w:t>市配电网和农村电网改造升级同步推进，“十三五”期间累计新建和改造110千伏、10千伏等变电容量1672.49兆伏安，线路长度累计达29738.93公里。居民人均生活用电量达689千瓦时/年，农网供电可靠率达99.84%。城镇居民天然气普及率达98.5%，人均用气量达331.3立方米/年。建成奉节金凤山风电，巫溪、巫山农光互补光伏等项目，带动贫困地区增加收入、扩大就业。电动汽车充电基础设施建设覆盖全部区县（自治县，以下简称区县），建成“一环十射”高速公路快充网络，中心城区充电服务平均半径达到1公里，公共“车桩比”达3.5∶1，处于西部领先水平。</w:t>
      </w:r>
    </w:p>
    <w:p w14:paraId="6E767F80">
      <w:pPr>
        <w:adjustRightInd/>
        <w:spacing w:line="240" w:lineRule="auto"/>
        <w:ind w:firstLine="632" w:firstLineChars="200"/>
        <w:textAlignment w:val="auto"/>
        <w:rPr>
          <w:rFonts w:hint="eastAsia" w:eastAsia="方正楷体_GBK"/>
        </w:rPr>
      </w:pPr>
      <w:r>
        <w:rPr>
          <w:rFonts w:hint="eastAsia" w:eastAsia="方正楷体_GBK"/>
        </w:rPr>
        <w:t>（四）能源体制改革稳步推进。</w:t>
      </w:r>
    </w:p>
    <w:p w14:paraId="6A9FF598">
      <w:pPr>
        <w:adjustRightInd/>
        <w:spacing w:line="240" w:lineRule="auto"/>
        <w:ind w:firstLine="632" w:firstLineChars="200"/>
        <w:textAlignment w:val="auto"/>
        <w:rPr>
          <w:rFonts w:hint="eastAsia"/>
        </w:rPr>
      </w:pPr>
      <w:r>
        <w:rPr>
          <w:rFonts w:hint="eastAsia"/>
        </w:rPr>
        <w:t>成功组建全国首个省级股份制电力交易中心，12个园区配电网建设项目纳入国家增量配电业务试点，其中两江新区、长寿经开区、重庆中梁山等3个园区配电网项目建成投运。创新组建专业化管网运营公司和全国首个混合所有制储气库运营公司，促进天然气管网、储气库等基础设施独立运营并向第三方公平开放。国家级能源交易平台重庆石油天然气交易中心落户并开展常态化交易，发布川渝天然气现货价格、区域LNG厂站价格。稳妥推进能源价格改革，放开直供用户天然气价格；出台重庆市城镇燃气、天然气管道输气价格管理办法，开展输配气管道价格管理和监审；推动输配电价改革，清理不合理附加费用。</w:t>
      </w:r>
    </w:p>
    <w:p w14:paraId="709E7009">
      <w:pPr>
        <w:jc w:val="center"/>
        <w:rPr>
          <w:rFonts w:hint="eastAsia" w:eastAsia="方正黑体_GBK"/>
        </w:rPr>
      </w:pPr>
      <w:r>
        <w:rPr>
          <w:rFonts w:hint="eastAsia" w:eastAsia="方正黑体_GBK"/>
        </w:rPr>
        <w:t>专栏1  重庆市“十三五”能源生产消费表</w:t>
      </w:r>
    </w:p>
    <w:tbl>
      <w:tblPr>
        <w:tblStyle w:val="6"/>
        <w:tblW w:w="8834"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0" w:type="dxa"/>
          <w:bottom w:w="0" w:type="dxa"/>
          <w:right w:w="0" w:type="dxa"/>
        </w:tblCellMar>
      </w:tblPr>
      <w:tblGrid>
        <w:gridCol w:w="667"/>
        <w:gridCol w:w="3058"/>
        <w:gridCol w:w="1126"/>
        <w:gridCol w:w="1203"/>
        <w:gridCol w:w="1078"/>
        <w:gridCol w:w="1702"/>
      </w:tblGrid>
      <w:tr w14:paraId="4DF15A5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tblHeader/>
          <w:jc w:val="center"/>
        </w:trPr>
        <w:tc>
          <w:tcPr>
            <w:tcW w:w="667" w:type="dxa"/>
            <w:noWrap w:val="0"/>
            <w:tcMar>
              <w:top w:w="0" w:type="dxa"/>
              <w:left w:w="85" w:type="dxa"/>
              <w:bottom w:w="0" w:type="dxa"/>
              <w:right w:w="85" w:type="dxa"/>
            </w:tcMar>
            <w:vAlign w:val="center"/>
          </w:tcPr>
          <w:p w14:paraId="4D48EFBD">
            <w:pPr>
              <w:jc w:val="center"/>
              <w:rPr>
                <w:rFonts w:hint="eastAsia" w:eastAsia="方正黑体_GBK"/>
                <w:sz w:val="24"/>
                <w:szCs w:val="24"/>
              </w:rPr>
            </w:pPr>
            <w:r>
              <w:rPr>
                <w:rFonts w:hint="eastAsia" w:eastAsia="方正黑体_GBK"/>
                <w:sz w:val="24"/>
                <w:szCs w:val="24"/>
              </w:rPr>
              <w:t>序号</w:t>
            </w:r>
          </w:p>
        </w:tc>
        <w:tc>
          <w:tcPr>
            <w:tcW w:w="3058" w:type="dxa"/>
            <w:noWrap w:val="0"/>
            <w:tcMar>
              <w:top w:w="0" w:type="dxa"/>
              <w:left w:w="85" w:type="dxa"/>
              <w:bottom w:w="0" w:type="dxa"/>
              <w:right w:w="85" w:type="dxa"/>
            </w:tcMar>
            <w:vAlign w:val="center"/>
          </w:tcPr>
          <w:p w14:paraId="1F5322A1">
            <w:pPr>
              <w:jc w:val="center"/>
              <w:rPr>
                <w:rFonts w:hint="eastAsia" w:eastAsia="方正黑体_GBK"/>
                <w:sz w:val="24"/>
                <w:szCs w:val="24"/>
              </w:rPr>
            </w:pPr>
            <w:r>
              <w:rPr>
                <w:rFonts w:hint="eastAsia" w:eastAsia="方正黑体_GBK"/>
                <w:sz w:val="24"/>
                <w:szCs w:val="24"/>
              </w:rPr>
              <w:t>指标名称</w:t>
            </w:r>
          </w:p>
        </w:tc>
        <w:tc>
          <w:tcPr>
            <w:tcW w:w="1126" w:type="dxa"/>
            <w:noWrap w:val="0"/>
            <w:tcMar>
              <w:top w:w="0" w:type="dxa"/>
              <w:left w:w="85" w:type="dxa"/>
              <w:bottom w:w="0" w:type="dxa"/>
              <w:right w:w="85" w:type="dxa"/>
            </w:tcMar>
            <w:vAlign w:val="center"/>
          </w:tcPr>
          <w:p w14:paraId="26D7DDCA">
            <w:pPr>
              <w:jc w:val="center"/>
              <w:rPr>
                <w:rFonts w:hint="eastAsia" w:eastAsia="方正黑体_GBK"/>
                <w:sz w:val="24"/>
                <w:szCs w:val="24"/>
              </w:rPr>
            </w:pPr>
            <w:r>
              <w:rPr>
                <w:rFonts w:hint="eastAsia" w:eastAsia="方正黑体_GBK"/>
                <w:sz w:val="24"/>
                <w:szCs w:val="24"/>
              </w:rPr>
              <w:t>单位</w:t>
            </w:r>
          </w:p>
        </w:tc>
        <w:tc>
          <w:tcPr>
            <w:tcW w:w="1203" w:type="dxa"/>
            <w:noWrap w:val="0"/>
            <w:tcMar>
              <w:top w:w="0" w:type="dxa"/>
              <w:left w:w="85" w:type="dxa"/>
              <w:bottom w:w="0" w:type="dxa"/>
              <w:right w:w="85" w:type="dxa"/>
            </w:tcMar>
            <w:vAlign w:val="center"/>
          </w:tcPr>
          <w:p w14:paraId="5B90A428">
            <w:pPr>
              <w:jc w:val="center"/>
              <w:rPr>
                <w:rFonts w:hint="eastAsia" w:eastAsia="方正黑体_GBK"/>
                <w:sz w:val="24"/>
                <w:szCs w:val="24"/>
              </w:rPr>
            </w:pPr>
            <w:r>
              <w:rPr>
                <w:rFonts w:hint="eastAsia" w:eastAsia="方正黑体_GBK"/>
                <w:sz w:val="24"/>
                <w:szCs w:val="24"/>
              </w:rPr>
              <w:t>2015年</w:t>
            </w:r>
          </w:p>
        </w:tc>
        <w:tc>
          <w:tcPr>
            <w:tcW w:w="1078" w:type="dxa"/>
            <w:noWrap w:val="0"/>
            <w:tcMar>
              <w:top w:w="0" w:type="dxa"/>
              <w:left w:w="85" w:type="dxa"/>
              <w:bottom w:w="0" w:type="dxa"/>
              <w:right w:w="85" w:type="dxa"/>
            </w:tcMar>
            <w:vAlign w:val="center"/>
          </w:tcPr>
          <w:p w14:paraId="3CA7CDC8">
            <w:pPr>
              <w:jc w:val="center"/>
              <w:rPr>
                <w:rFonts w:hint="eastAsia" w:eastAsia="方正黑体_GBK"/>
                <w:sz w:val="24"/>
                <w:szCs w:val="24"/>
              </w:rPr>
            </w:pPr>
            <w:r>
              <w:rPr>
                <w:rFonts w:hint="eastAsia" w:eastAsia="方正黑体_GBK"/>
                <w:sz w:val="24"/>
                <w:szCs w:val="24"/>
              </w:rPr>
              <w:t>2020年</w:t>
            </w:r>
          </w:p>
        </w:tc>
        <w:tc>
          <w:tcPr>
            <w:tcW w:w="1702" w:type="dxa"/>
            <w:noWrap w:val="0"/>
            <w:tcMar>
              <w:top w:w="0" w:type="dxa"/>
              <w:left w:w="85" w:type="dxa"/>
              <w:bottom w:w="0" w:type="dxa"/>
              <w:right w:w="85" w:type="dxa"/>
            </w:tcMar>
            <w:vAlign w:val="center"/>
          </w:tcPr>
          <w:p w14:paraId="35208680">
            <w:pPr>
              <w:jc w:val="center"/>
              <w:rPr>
                <w:rFonts w:hint="eastAsia" w:eastAsia="方正黑体_GBK"/>
                <w:sz w:val="24"/>
                <w:szCs w:val="24"/>
              </w:rPr>
            </w:pPr>
            <w:r>
              <w:rPr>
                <w:rFonts w:hint="eastAsia" w:eastAsia="方正黑体_GBK"/>
                <w:sz w:val="24"/>
                <w:szCs w:val="24"/>
              </w:rPr>
              <w:t>年均增速（%）</w:t>
            </w:r>
          </w:p>
        </w:tc>
      </w:tr>
      <w:tr w14:paraId="1AFFB1F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8" w:hRule="atLeast"/>
          <w:jc w:val="center"/>
        </w:trPr>
        <w:tc>
          <w:tcPr>
            <w:tcW w:w="667" w:type="dxa"/>
            <w:shd w:val="clear" w:color="auto" w:fill="auto"/>
            <w:noWrap w:val="0"/>
            <w:tcMar>
              <w:top w:w="0" w:type="dxa"/>
              <w:left w:w="85" w:type="dxa"/>
              <w:bottom w:w="0" w:type="dxa"/>
              <w:right w:w="85" w:type="dxa"/>
            </w:tcMar>
            <w:vAlign w:val="center"/>
          </w:tcPr>
          <w:p w14:paraId="72A877F5">
            <w:pPr>
              <w:jc w:val="center"/>
              <w:rPr>
                <w:rFonts w:hint="eastAsia" w:eastAsia="方正书宋_GBK"/>
                <w:sz w:val="24"/>
                <w:szCs w:val="24"/>
              </w:rPr>
            </w:pPr>
            <w:r>
              <w:rPr>
                <w:rFonts w:hint="eastAsia" w:eastAsia="方正书宋_GBK"/>
                <w:sz w:val="24"/>
                <w:szCs w:val="24"/>
              </w:rPr>
              <w:t>1</w:t>
            </w:r>
          </w:p>
        </w:tc>
        <w:tc>
          <w:tcPr>
            <w:tcW w:w="3058" w:type="dxa"/>
            <w:shd w:val="clear" w:color="auto" w:fill="FFFFFF"/>
            <w:noWrap w:val="0"/>
            <w:tcMar>
              <w:top w:w="0" w:type="dxa"/>
              <w:left w:w="85" w:type="dxa"/>
              <w:bottom w:w="0" w:type="dxa"/>
              <w:right w:w="85" w:type="dxa"/>
            </w:tcMar>
            <w:vAlign w:val="center"/>
          </w:tcPr>
          <w:p w14:paraId="6193AED7">
            <w:pPr>
              <w:rPr>
                <w:rFonts w:hint="eastAsia" w:eastAsia="方正书宋_GBK"/>
                <w:sz w:val="24"/>
                <w:szCs w:val="24"/>
              </w:rPr>
            </w:pPr>
            <w:r>
              <w:rPr>
                <w:rFonts w:hint="eastAsia" w:eastAsia="方正书宋_GBK"/>
                <w:sz w:val="24"/>
                <w:szCs w:val="24"/>
              </w:rPr>
              <w:t>能源消费总量</w:t>
            </w:r>
          </w:p>
        </w:tc>
        <w:tc>
          <w:tcPr>
            <w:tcW w:w="1126" w:type="dxa"/>
            <w:noWrap w:val="0"/>
            <w:tcMar>
              <w:top w:w="0" w:type="dxa"/>
              <w:left w:w="85" w:type="dxa"/>
              <w:bottom w:w="0" w:type="dxa"/>
              <w:right w:w="85" w:type="dxa"/>
            </w:tcMar>
            <w:vAlign w:val="center"/>
          </w:tcPr>
          <w:p w14:paraId="055524FC">
            <w:pPr>
              <w:jc w:val="center"/>
              <w:rPr>
                <w:rFonts w:hint="eastAsia" w:eastAsia="方正书宋_GBK"/>
                <w:sz w:val="24"/>
                <w:szCs w:val="24"/>
              </w:rPr>
            </w:pPr>
            <w:r>
              <w:rPr>
                <w:rFonts w:hint="eastAsia" w:eastAsia="方正书宋_GBK"/>
                <w:sz w:val="24"/>
                <w:szCs w:val="24"/>
              </w:rPr>
              <w:t>万吨标煤</w:t>
            </w:r>
          </w:p>
        </w:tc>
        <w:tc>
          <w:tcPr>
            <w:tcW w:w="1203" w:type="dxa"/>
            <w:noWrap w:val="0"/>
            <w:tcMar>
              <w:top w:w="0" w:type="dxa"/>
              <w:left w:w="85" w:type="dxa"/>
              <w:bottom w:w="0" w:type="dxa"/>
              <w:right w:w="85" w:type="dxa"/>
            </w:tcMar>
            <w:vAlign w:val="center"/>
          </w:tcPr>
          <w:p w14:paraId="2F915779">
            <w:pPr>
              <w:jc w:val="center"/>
              <w:rPr>
                <w:rFonts w:hint="eastAsia" w:eastAsia="方正书宋_GBK"/>
                <w:sz w:val="24"/>
                <w:szCs w:val="24"/>
              </w:rPr>
            </w:pPr>
            <w:r>
              <w:rPr>
                <w:rFonts w:hint="eastAsia" w:eastAsia="方正书宋_GBK"/>
                <w:sz w:val="24"/>
                <w:szCs w:val="24"/>
              </w:rPr>
              <w:t>7747</w:t>
            </w:r>
          </w:p>
        </w:tc>
        <w:tc>
          <w:tcPr>
            <w:tcW w:w="1078" w:type="dxa"/>
            <w:noWrap w:val="0"/>
            <w:tcMar>
              <w:top w:w="0" w:type="dxa"/>
              <w:left w:w="85" w:type="dxa"/>
              <w:bottom w:w="0" w:type="dxa"/>
              <w:right w:w="85" w:type="dxa"/>
            </w:tcMar>
            <w:vAlign w:val="center"/>
          </w:tcPr>
          <w:p w14:paraId="37661956">
            <w:pPr>
              <w:jc w:val="center"/>
              <w:rPr>
                <w:rFonts w:hint="eastAsia" w:eastAsia="方正书宋_GBK"/>
                <w:sz w:val="24"/>
                <w:szCs w:val="24"/>
              </w:rPr>
            </w:pPr>
            <w:r>
              <w:rPr>
                <w:rFonts w:hint="eastAsia" w:eastAsia="方正书宋_GBK"/>
                <w:sz w:val="24"/>
                <w:szCs w:val="24"/>
              </w:rPr>
              <w:t>8875</w:t>
            </w:r>
          </w:p>
        </w:tc>
        <w:tc>
          <w:tcPr>
            <w:tcW w:w="1702" w:type="dxa"/>
            <w:noWrap w:val="0"/>
            <w:tcMar>
              <w:top w:w="0" w:type="dxa"/>
              <w:left w:w="85" w:type="dxa"/>
              <w:bottom w:w="0" w:type="dxa"/>
              <w:right w:w="85" w:type="dxa"/>
            </w:tcMar>
            <w:vAlign w:val="center"/>
          </w:tcPr>
          <w:p w14:paraId="16C6BEDC">
            <w:pPr>
              <w:jc w:val="center"/>
              <w:rPr>
                <w:rFonts w:hint="eastAsia" w:eastAsia="方正书宋_GBK"/>
                <w:sz w:val="24"/>
                <w:szCs w:val="24"/>
              </w:rPr>
            </w:pPr>
            <w:r>
              <w:rPr>
                <w:rFonts w:hint="eastAsia" w:eastAsia="方正书宋_GBK"/>
                <w:sz w:val="24"/>
                <w:szCs w:val="24"/>
              </w:rPr>
              <w:t>2.8</w:t>
            </w:r>
          </w:p>
        </w:tc>
      </w:tr>
      <w:tr w14:paraId="0361105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shd w:val="clear" w:color="auto" w:fill="auto"/>
            <w:noWrap w:val="0"/>
            <w:tcMar>
              <w:top w:w="0" w:type="dxa"/>
              <w:left w:w="85" w:type="dxa"/>
              <w:bottom w:w="0" w:type="dxa"/>
              <w:right w:w="85" w:type="dxa"/>
            </w:tcMar>
            <w:vAlign w:val="center"/>
          </w:tcPr>
          <w:p w14:paraId="1DA19B28">
            <w:pPr>
              <w:jc w:val="center"/>
              <w:rPr>
                <w:rFonts w:hint="eastAsia" w:eastAsia="方正书宋_GBK"/>
                <w:sz w:val="24"/>
                <w:szCs w:val="24"/>
              </w:rPr>
            </w:pPr>
            <w:r>
              <w:rPr>
                <w:rFonts w:hint="eastAsia" w:eastAsia="方正书宋_GBK"/>
                <w:sz w:val="24"/>
                <w:szCs w:val="24"/>
              </w:rPr>
              <w:t>2</w:t>
            </w:r>
          </w:p>
        </w:tc>
        <w:tc>
          <w:tcPr>
            <w:tcW w:w="3058" w:type="dxa"/>
            <w:shd w:val="clear" w:color="auto" w:fill="FFFFFF"/>
            <w:noWrap w:val="0"/>
            <w:tcMar>
              <w:top w:w="0" w:type="dxa"/>
              <w:left w:w="85" w:type="dxa"/>
              <w:bottom w:w="0" w:type="dxa"/>
              <w:right w:w="85" w:type="dxa"/>
            </w:tcMar>
            <w:vAlign w:val="center"/>
          </w:tcPr>
          <w:p w14:paraId="12E85881">
            <w:pPr>
              <w:rPr>
                <w:rFonts w:hint="eastAsia" w:eastAsia="方正书宋_GBK"/>
                <w:sz w:val="24"/>
                <w:szCs w:val="24"/>
              </w:rPr>
            </w:pPr>
            <w:r>
              <w:rPr>
                <w:rFonts w:hint="eastAsia" w:eastAsia="方正书宋_GBK"/>
                <w:sz w:val="24"/>
                <w:szCs w:val="24"/>
              </w:rPr>
              <w:t>煤炭消费量</w:t>
            </w:r>
          </w:p>
        </w:tc>
        <w:tc>
          <w:tcPr>
            <w:tcW w:w="1126" w:type="dxa"/>
            <w:noWrap w:val="0"/>
            <w:tcMar>
              <w:top w:w="0" w:type="dxa"/>
              <w:left w:w="85" w:type="dxa"/>
              <w:bottom w:w="0" w:type="dxa"/>
              <w:right w:w="85" w:type="dxa"/>
            </w:tcMar>
            <w:vAlign w:val="center"/>
          </w:tcPr>
          <w:p w14:paraId="00CEE0C9">
            <w:pPr>
              <w:jc w:val="center"/>
              <w:rPr>
                <w:rFonts w:hint="eastAsia" w:eastAsia="方正书宋_GBK"/>
                <w:sz w:val="24"/>
                <w:szCs w:val="24"/>
              </w:rPr>
            </w:pPr>
            <w:r>
              <w:rPr>
                <w:rFonts w:hint="eastAsia" w:eastAsia="方正书宋_GBK"/>
                <w:sz w:val="24"/>
                <w:szCs w:val="24"/>
              </w:rPr>
              <w:t>万吨</w:t>
            </w:r>
          </w:p>
        </w:tc>
        <w:tc>
          <w:tcPr>
            <w:tcW w:w="1203" w:type="dxa"/>
            <w:noWrap w:val="0"/>
            <w:tcMar>
              <w:top w:w="0" w:type="dxa"/>
              <w:left w:w="85" w:type="dxa"/>
              <w:bottom w:w="0" w:type="dxa"/>
              <w:right w:w="85" w:type="dxa"/>
            </w:tcMar>
            <w:vAlign w:val="center"/>
          </w:tcPr>
          <w:p w14:paraId="159DB701">
            <w:pPr>
              <w:jc w:val="center"/>
              <w:rPr>
                <w:rFonts w:hint="eastAsia" w:eastAsia="方正书宋_GBK"/>
                <w:sz w:val="24"/>
                <w:szCs w:val="24"/>
              </w:rPr>
            </w:pPr>
            <w:r>
              <w:rPr>
                <w:rFonts w:hint="eastAsia" w:eastAsia="方正书宋_GBK"/>
                <w:sz w:val="24"/>
                <w:szCs w:val="24"/>
              </w:rPr>
              <w:t>4880</w:t>
            </w:r>
          </w:p>
        </w:tc>
        <w:tc>
          <w:tcPr>
            <w:tcW w:w="1078" w:type="dxa"/>
            <w:noWrap w:val="0"/>
            <w:tcMar>
              <w:top w:w="0" w:type="dxa"/>
              <w:left w:w="85" w:type="dxa"/>
              <w:bottom w:w="0" w:type="dxa"/>
              <w:right w:w="85" w:type="dxa"/>
            </w:tcMar>
            <w:vAlign w:val="center"/>
          </w:tcPr>
          <w:p w14:paraId="3EFEA1B7">
            <w:pPr>
              <w:jc w:val="center"/>
              <w:rPr>
                <w:rFonts w:hint="eastAsia" w:eastAsia="方正书宋_GBK"/>
                <w:sz w:val="24"/>
                <w:szCs w:val="24"/>
              </w:rPr>
            </w:pPr>
            <w:r>
              <w:rPr>
                <w:rFonts w:hint="eastAsia" w:eastAsia="方正书宋_GBK"/>
                <w:sz w:val="24"/>
                <w:szCs w:val="24"/>
              </w:rPr>
              <w:t>4996</w:t>
            </w:r>
          </w:p>
        </w:tc>
        <w:tc>
          <w:tcPr>
            <w:tcW w:w="1702" w:type="dxa"/>
            <w:noWrap w:val="0"/>
            <w:tcMar>
              <w:top w:w="0" w:type="dxa"/>
              <w:left w:w="85" w:type="dxa"/>
              <w:bottom w:w="0" w:type="dxa"/>
              <w:right w:w="85" w:type="dxa"/>
            </w:tcMar>
            <w:vAlign w:val="center"/>
          </w:tcPr>
          <w:p w14:paraId="727B5180">
            <w:pPr>
              <w:jc w:val="center"/>
              <w:rPr>
                <w:rFonts w:hint="eastAsia" w:eastAsia="方正书宋_GBK"/>
                <w:sz w:val="24"/>
                <w:szCs w:val="24"/>
              </w:rPr>
            </w:pPr>
            <w:r>
              <w:rPr>
                <w:rFonts w:hint="eastAsia" w:eastAsia="方正书宋_GBK"/>
                <w:sz w:val="24"/>
                <w:szCs w:val="24"/>
              </w:rPr>
              <w:t>0.5</w:t>
            </w:r>
          </w:p>
        </w:tc>
      </w:tr>
      <w:tr w14:paraId="0432F4E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shd w:val="clear" w:color="auto" w:fill="auto"/>
            <w:noWrap w:val="0"/>
            <w:tcMar>
              <w:top w:w="0" w:type="dxa"/>
              <w:left w:w="85" w:type="dxa"/>
              <w:bottom w:w="0" w:type="dxa"/>
              <w:right w:w="85" w:type="dxa"/>
            </w:tcMar>
            <w:vAlign w:val="center"/>
          </w:tcPr>
          <w:p w14:paraId="757AEF73">
            <w:pPr>
              <w:jc w:val="center"/>
              <w:rPr>
                <w:rFonts w:hint="eastAsia" w:eastAsia="方正书宋_GBK"/>
                <w:sz w:val="24"/>
                <w:szCs w:val="24"/>
              </w:rPr>
            </w:pPr>
            <w:r>
              <w:rPr>
                <w:rFonts w:hint="eastAsia" w:eastAsia="方正书宋_GBK"/>
                <w:sz w:val="24"/>
                <w:szCs w:val="24"/>
              </w:rPr>
              <w:t>3</w:t>
            </w:r>
          </w:p>
        </w:tc>
        <w:tc>
          <w:tcPr>
            <w:tcW w:w="3058" w:type="dxa"/>
            <w:shd w:val="clear" w:color="auto" w:fill="FFFFFF"/>
            <w:noWrap w:val="0"/>
            <w:tcMar>
              <w:top w:w="0" w:type="dxa"/>
              <w:left w:w="85" w:type="dxa"/>
              <w:bottom w:w="0" w:type="dxa"/>
              <w:right w:w="85" w:type="dxa"/>
            </w:tcMar>
            <w:vAlign w:val="center"/>
          </w:tcPr>
          <w:p w14:paraId="699D1740">
            <w:pPr>
              <w:rPr>
                <w:rFonts w:hint="eastAsia" w:eastAsia="方正书宋_GBK"/>
                <w:sz w:val="24"/>
                <w:szCs w:val="24"/>
              </w:rPr>
            </w:pPr>
            <w:r>
              <w:rPr>
                <w:rFonts w:hint="eastAsia" w:eastAsia="方正书宋_GBK"/>
                <w:sz w:val="24"/>
                <w:szCs w:val="24"/>
              </w:rPr>
              <w:t>煤炭消费比重</w:t>
            </w:r>
          </w:p>
        </w:tc>
        <w:tc>
          <w:tcPr>
            <w:tcW w:w="1126" w:type="dxa"/>
            <w:noWrap w:val="0"/>
            <w:tcMar>
              <w:top w:w="0" w:type="dxa"/>
              <w:left w:w="85" w:type="dxa"/>
              <w:bottom w:w="0" w:type="dxa"/>
              <w:right w:w="85" w:type="dxa"/>
            </w:tcMar>
            <w:vAlign w:val="center"/>
          </w:tcPr>
          <w:p w14:paraId="532A04BA">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69D2B742">
            <w:pPr>
              <w:jc w:val="center"/>
              <w:rPr>
                <w:rFonts w:hint="eastAsia" w:eastAsia="方正书宋_GBK"/>
                <w:sz w:val="24"/>
                <w:szCs w:val="24"/>
              </w:rPr>
            </w:pPr>
            <w:r>
              <w:rPr>
                <w:rFonts w:hint="eastAsia" w:eastAsia="方正书宋_GBK"/>
                <w:sz w:val="24"/>
                <w:szCs w:val="24"/>
              </w:rPr>
              <w:t>49.1</w:t>
            </w:r>
          </w:p>
        </w:tc>
        <w:tc>
          <w:tcPr>
            <w:tcW w:w="1078" w:type="dxa"/>
            <w:noWrap w:val="0"/>
            <w:tcMar>
              <w:top w:w="0" w:type="dxa"/>
              <w:left w:w="85" w:type="dxa"/>
              <w:bottom w:w="0" w:type="dxa"/>
              <w:right w:w="85" w:type="dxa"/>
            </w:tcMar>
            <w:vAlign w:val="center"/>
          </w:tcPr>
          <w:p w14:paraId="2EAFA30A">
            <w:pPr>
              <w:jc w:val="center"/>
              <w:rPr>
                <w:rFonts w:hint="eastAsia" w:eastAsia="方正书宋_GBK"/>
                <w:sz w:val="24"/>
                <w:szCs w:val="24"/>
              </w:rPr>
            </w:pPr>
            <w:r>
              <w:rPr>
                <w:rFonts w:hint="eastAsia" w:eastAsia="方正书宋_GBK"/>
                <w:sz w:val="24"/>
                <w:szCs w:val="24"/>
              </w:rPr>
              <w:t>44.3</w:t>
            </w:r>
          </w:p>
        </w:tc>
        <w:tc>
          <w:tcPr>
            <w:tcW w:w="1702" w:type="dxa"/>
            <w:noWrap w:val="0"/>
            <w:tcMar>
              <w:top w:w="0" w:type="dxa"/>
              <w:left w:w="85" w:type="dxa"/>
              <w:bottom w:w="0" w:type="dxa"/>
              <w:right w:w="85" w:type="dxa"/>
            </w:tcMar>
            <w:vAlign w:val="center"/>
          </w:tcPr>
          <w:p w14:paraId="28A58091">
            <w:pPr>
              <w:jc w:val="center"/>
              <w:rPr>
                <w:rFonts w:hint="eastAsia" w:eastAsia="方正书宋_GBK"/>
                <w:sz w:val="24"/>
                <w:szCs w:val="24"/>
              </w:rPr>
            </w:pPr>
            <w:r>
              <w:rPr>
                <w:rFonts w:hint="eastAsia" w:eastAsia="方正书宋_GBK"/>
                <w:sz w:val="24"/>
                <w:szCs w:val="24"/>
              </w:rPr>
              <w:t>[-4.8]</w:t>
            </w:r>
          </w:p>
        </w:tc>
      </w:tr>
      <w:tr w14:paraId="24D9442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noWrap w:val="0"/>
            <w:tcMar>
              <w:top w:w="0" w:type="dxa"/>
              <w:left w:w="85" w:type="dxa"/>
              <w:bottom w:w="0" w:type="dxa"/>
              <w:right w:w="85" w:type="dxa"/>
            </w:tcMar>
            <w:vAlign w:val="center"/>
          </w:tcPr>
          <w:p w14:paraId="1B2B56DD">
            <w:pPr>
              <w:jc w:val="center"/>
              <w:rPr>
                <w:rFonts w:hint="eastAsia" w:eastAsia="方正书宋_GBK"/>
                <w:sz w:val="24"/>
                <w:szCs w:val="24"/>
              </w:rPr>
            </w:pPr>
            <w:r>
              <w:rPr>
                <w:rFonts w:hint="eastAsia" w:eastAsia="方正书宋_GBK"/>
                <w:sz w:val="24"/>
                <w:szCs w:val="24"/>
              </w:rPr>
              <w:t>4</w:t>
            </w:r>
          </w:p>
        </w:tc>
        <w:tc>
          <w:tcPr>
            <w:tcW w:w="3058" w:type="dxa"/>
            <w:noWrap w:val="0"/>
            <w:tcMar>
              <w:top w:w="0" w:type="dxa"/>
              <w:left w:w="85" w:type="dxa"/>
              <w:bottom w:w="0" w:type="dxa"/>
              <w:right w:w="85" w:type="dxa"/>
            </w:tcMar>
            <w:vAlign w:val="center"/>
          </w:tcPr>
          <w:p w14:paraId="77DBD889">
            <w:pPr>
              <w:rPr>
                <w:rFonts w:hint="eastAsia" w:eastAsia="方正书宋_GBK"/>
                <w:sz w:val="24"/>
                <w:szCs w:val="24"/>
              </w:rPr>
            </w:pPr>
            <w:r>
              <w:rPr>
                <w:rFonts w:hint="eastAsia" w:eastAsia="方正书宋_GBK"/>
                <w:sz w:val="24"/>
                <w:szCs w:val="24"/>
              </w:rPr>
              <w:t>成品油消费量</w:t>
            </w:r>
          </w:p>
        </w:tc>
        <w:tc>
          <w:tcPr>
            <w:tcW w:w="1126" w:type="dxa"/>
            <w:noWrap w:val="0"/>
            <w:tcMar>
              <w:top w:w="0" w:type="dxa"/>
              <w:left w:w="85" w:type="dxa"/>
              <w:bottom w:w="0" w:type="dxa"/>
              <w:right w:w="85" w:type="dxa"/>
            </w:tcMar>
            <w:vAlign w:val="center"/>
          </w:tcPr>
          <w:p w14:paraId="3AE12085">
            <w:pPr>
              <w:jc w:val="center"/>
              <w:rPr>
                <w:rFonts w:hint="eastAsia" w:eastAsia="方正书宋_GBK"/>
                <w:sz w:val="24"/>
                <w:szCs w:val="24"/>
              </w:rPr>
            </w:pPr>
            <w:r>
              <w:rPr>
                <w:rFonts w:hint="eastAsia" w:eastAsia="方正书宋_GBK"/>
                <w:sz w:val="24"/>
                <w:szCs w:val="24"/>
              </w:rPr>
              <w:t>万吨</w:t>
            </w:r>
          </w:p>
        </w:tc>
        <w:tc>
          <w:tcPr>
            <w:tcW w:w="1203" w:type="dxa"/>
            <w:noWrap w:val="0"/>
            <w:tcMar>
              <w:top w:w="0" w:type="dxa"/>
              <w:left w:w="85" w:type="dxa"/>
              <w:bottom w:w="0" w:type="dxa"/>
              <w:right w:w="85" w:type="dxa"/>
            </w:tcMar>
            <w:vAlign w:val="center"/>
          </w:tcPr>
          <w:p w14:paraId="75653960">
            <w:pPr>
              <w:jc w:val="center"/>
              <w:rPr>
                <w:rFonts w:hint="eastAsia" w:eastAsia="方正书宋_GBK"/>
                <w:sz w:val="24"/>
                <w:szCs w:val="24"/>
              </w:rPr>
            </w:pPr>
            <w:r>
              <w:rPr>
                <w:rFonts w:hint="eastAsia" w:eastAsia="方正书宋_GBK"/>
                <w:sz w:val="24"/>
                <w:szCs w:val="24"/>
              </w:rPr>
              <w:t>793</w:t>
            </w:r>
          </w:p>
        </w:tc>
        <w:tc>
          <w:tcPr>
            <w:tcW w:w="1078" w:type="dxa"/>
            <w:noWrap w:val="0"/>
            <w:tcMar>
              <w:top w:w="0" w:type="dxa"/>
              <w:left w:w="85" w:type="dxa"/>
              <w:bottom w:w="0" w:type="dxa"/>
              <w:right w:w="85" w:type="dxa"/>
            </w:tcMar>
            <w:vAlign w:val="center"/>
          </w:tcPr>
          <w:p w14:paraId="0D19E677">
            <w:pPr>
              <w:jc w:val="center"/>
              <w:rPr>
                <w:rFonts w:hint="eastAsia" w:eastAsia="方正书宋_GBK"/>
                <w:sz w:val="24"/>
                <w:szCs w:val="24"/>
              </w:rPr>
            </w:pPr>
            <w:r>
              <w:rPr>
                <w:rFonts w:hint="eastAsia" w:eastAsia="方正书宋_GBK"/>
                <w:sz w:val="24"/>
                <w:szCs w:val="24"/>
              </w:rPr>
              <w:t>958</w:t>
            </w:r>
          </w:p>
        </w:tc>
        <w:tc>
          <w:tcPr>
            <w:tcW w:w="1702" w:type="dxa"/>
            <w:noWrap w:val="0"/>
            <w:tcMar>
              <w:top w:w="0" w:type="dxa"/>
              <w:left w:w="85" w:type="dxa"/>
              <w:bottom w:w="0" w:type="dxa"/>
              <w:right w:w="85" w:type="dxa"/>
            </w:tcMar>
            <w:vAlign w:val="center"/>
          </w:tcPr>
          <w:p w14:paraId="220145AF">
            <w:pPr>
              <w:jc w:val="center"/>
              <w:rPr>
                <w:rFonts w:hint="eastAsia" w:eastAsia="方正书宋_GBK"/>
                <w:sz w:val="24"/>
                <w:szCs w:val="24"/>
              </w:rPr>
            </w:pPr>
            <w:r>
              <w:rPr>
                <w:rFonts w:hint="eastAsia" w:eastAsia="方正书宋_GBK"/>
                <w:sz w:val="24"/>
                <w:szCs w:val="24"/>
              </w:rPr>
              <w:t>3.9</w:t>
            </w:r>
          </w:p>
        </w:tc>
      </w:tr>
      <w:tr w14:paraId="3276426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noWrap w:val="0"/>
            <w:tcMar>
              <w:top w:w="0" w:type="dxa"/>
              <w:left w:w="85" w:type="dxa"/>
              <w:bottom w:w="0" w:type="dxa"/>
              <w:right w:w="85" w:type="dxa"/>
            </w:tcMar>
            <w:vAlign w:val="center"/>
          </w:tcPr>
          <w:p w14:paraId="3B549AF4">
            <w:pPr>
              <w:jc w:val="center"/>
              <w:rPr>
                <w:rFonts w:hint="eastAsia" w:eastAsia="方正书宋_GBK"/>
                <w:sz w:val="24"/>
                <w:szCs w:val="24"/>
              </w:rPr>
            </w:pPr>
            <w:r>
              <w:rPr>
                <w:rFonts w:hint="eastAsia" w:eastAsia="方正书宋_GBK"/>
                <w:sz w:val="24"/>
                <w:szCs w:val="24"/>
              </w:rPr>
              <w:t>5</w:t>
            </w:r>
          </w:p>
        </w:tc>
        <w:tc>
          <w:tcPr>
            <w:tcW w:w="3058" w:type="dxa"/>
            <w:noWrap w:val="0"/>
            <w:tcMar>
              <w:top w:w="0" w:type="dxa"/>
              <w:left w:w="85" w:type="dxa"/>
              <w:bottom w:w="0" w:type="dxa"/>
              <w:right w:w="85" w:type="dxa"/>
            </w:tcMar>
            <w:vAlign w:val="center"/>
          </w:tcPr>
          <w:p w14:paraId="7A096CA8">
            <w:pPr>
              <w:rPr>
                <w:rFonts w:hint="eastAsia" w:eastAsia="方正书宋_GBK"/>
                <w:sz w:val="24"/>
                <w:szCs w:val="24"/>
              </w:rPr>
            </w:pPr>
            <w:r>
              <w:rPr>
                <w:rFonts w:hint="eastAsia" w:eastAsia="方正书宋_GBK"/>
                <w:sz w:val="24"/>
                <w:szCs w:val="24"/>
              </w:rPr>
              <w:t>成品油消费比重</w:t>
            </w:r>
          </w:p>
        </w:tc>
        <w:tc>
          <w:tcPr>
            <w:tcW w:w="1126" w:type="dxa"/>
            <w:noWrap w:val="0"/>
            <w:tcMar>
              <w:top w:w="0" w:type="dxa"/>
              <w:left w:w="85" w:type="dxa"/>
              <w:bottom w:w="0" w:type="dxa"/>
              <w:right w:w="85" w:type="dxa"/>
            </w:tcMar>
            <w:vAlign w:val="center"/>
          </w:tcPr>
          <w:p w14:paraId="4C5A033F">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09DE6ECD">
            <w:pPr>
              <w:jc w:val="center"/>
              <w:rPr>
                <w:rFonts w:hint="eastAsia" w:eastAsia="方正书宋_GBK"/>
                <w:sz w:val="24"/>
                <w:szCs w:val="24"/>
              </w:rPr>
            </w:pPr>
            <w:r>
              <w:rPr>
                <w:rFonts w:hint="eastAsia" w:eastAsia="方正书宋_GBK"/>
                <w:sz w:val="24"/>
                <w:szCs w:val="24"/>
              </w:rPr>
              <w:t>15.0</w:t>
            </w:r>
          </w:p>
        </w:tc>
        <w:tc>
          <w:tcPr>
            <w:tcW w:w="1078" w:type="dxa"/>
            <w:noWrap w:val="0"/>
            <w:tcMar>
              <w:top w:w="0" w:type="dxa"/>
              <w:left w:w="85" w:type="dxa"/>
              <w:bottom w:w="0" w:type="dxa"/>
              <w:right w:w="85" w:type="dxa"/>
            </w:tcMar>
            <w:vAlign w:val="center"/>
          </w:tcPr>
          <w:p w14:paraId="57A6BE6A">
            <w:pPr>
              <w:jc w:val="center"/>
              <w:rPr>
                <w:rFonts w:hint="eastAsia" w:eastAsia="方正书宋_GBK"/>
                <w:sz w:val="24"/>
                <w:szCs w:val="24"/>
              </w:rPr>
            </w:pPr>
            <w:r>
              <w:rPr>
                <w:rFonts w:hint="eastAsia" w:eastAsia="方正书宋_GBK"/>
                <w:sz w:val="24"/>
                <w:szCs w:val="24"/>
              </w:rPr>
              <w:t>15.8</w:t>
            </w:r>
          </w:p>
        </w:tc>
        <w:tc>
          <w:tcPr>
            <w:tcW w:w="1702" w:type="dxa"/>
            <w:noWrap w:val="0"/>
            <w:tcMar>
              <w:top w:w="0" w:type="dxa"/>
              <w:left w:w="85" w:type="dxa"/>
              <w:bottom w:w="0" w:type="dxa"/>
              <w:right w:w="85" w:type="dxa"/>
            </w:tcMar>
            <w:vAlign w:val="center"/>
          </w:tcPr>
          <w:p w14:paraId="252D4F7E">
            <w:pPr>
              <w:jc w:val="center"/>
              <w:rPr>
                <w:rFonts w:hint="eastAsia" w:eastAsia="方正书宋_GBK"/>
                <w:sz w:val="24"/>
                <w:szCs w:val="24"/>
              </w:rPr>
            </w:pPr>
            <w:r>
              <w:rPr>
                <w:rFonts w:hint="eastAsia" w:eastAsia="方正书宋_GBK"/>
                <w:sz w:val="24"/>
                <w:szCs w:val="24"/>
              </w:rPr>
              <w:t>[0.8]</w:t>
            </w:r>
          </w:p>
        </w:tc>
      </w:tr>
      <w:tr w14:paraId="2E37410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5360FD14">
            <w:pPr>
              <w:jc w:val="center"/>
              <w:rPr>
                <w:rFonts w:hint="eastAsia" w:eastAsia="方正书宋_GBK"/>
                <w:sz w:val="24"/>
                <w:szCs w:val="24"/>
              </w:rPr>
            </w:pPr>
            <w:r>
              <w:rPr>
                <w:rFonts w:hint="eastAsia" w:eastAsia="方正书宋_GBK"/>
                <w:sz w:val="24"/>
                <w:szCs w:val="24"/>
              </w:rPr>
              <w:t>6</w:t>
            </w:r>
          </w:p>
        </w:tc>
        <w:tc>
          <w:tcPr>
            <w:tcW w:w="3058" w:type="dxa"/>
            <w:noWrap w:val="0"/>
            <w:tcMar>
              <w:top w:w="0" w:type="dxa"/>
              <w:left w:w="85" w:type="dxa"/>
              <w:bottom w:w="0" w:type="dxa"/>
              <w:right w:w="85" w:type="dxa"/>
            </w:tcMar>
            <w:vAlign w:val="center"/>
          </w:tcPr>
          <w:p w14:paraId="7AA443BD">
            <w:pPr>
              <w:rPr>
                <w:rFonts w:hint="eastAsia" w:eastAsia="方正书宋_GBK"/>
                <w:sz w:val="24"/>
                <w:szCs w:val="24"/>
              </w:rPr>
            </w:pPr>
            <w:r>
              <w:rPr>
                <w:rFonts w:hint="eastAsia" w:eastAsia="方正书宋_GBK"/>
                <w:sz w:val="24"/>
                <w:szCs w:val="24"/>
              </w:rPr>
              <w:t>天然气消费量</w:t>
            </w:r>
          </w:p>
        </w:tc>
        <w:tc>
          <w:tcPr>
            <w:tcW w:w="1126" w:type="dxa"/>
            <w:noWrap w:val="0"/>
            <w:tcMar>
              <w:top w:w="0" w:type="dxa"/>
              <w:left w:w="85" w:type="dxa"/>
              <w:bottom w:w="0" w:type="dxa"/>
              <w:right w:w="85" w:type="dxa"/>
            </w:tcMar>
            <w:vAlign w:val="center"/>
          </w:tcPr>
          <w:p w14:paraId="46AA5553">
            <w:pPr>
              <w:jc w:val="center"/>
              <w:rPr>
                <w:rFonts w:hint="eastAsia" w:eastAsia="方正书宋_GBK"/>
                <w:sz w:val="24"/>
                <w:szCs w:val="24"/>
              </w:rPr>
            </w:pPr>
            <w:r>
              <w:rPr>
                <w:rFonts w:hint="eastAsia" w:eastAsia="方正书宋_GBK"/>
                <w:sz w:val="24"/>
                <w:szCs w:val="24"/>
              </w:rPr>
              <w:t>亿立方米</w:t>
            </w:r>
          </w:p>
        </w:tc>
        <w:tc>
          <w:tcPr>
            <w:tcW w:w="1203" w:type="dxa"/>
            <w:noWrap w:val="0"/>
            <w:tcMar>
              <w:top w:w="0" w:type="dxa"/>
              <w:left w:w="85" w:type="dxa"/>
              <w:bottom w:w="0" w:type="dxa"/>
              <w:right w:w="85" w:type="dxa"/>
            </w:tcMar>
            <w:vAlign w:val="center"/>
          </w:tcPr>
          <w:p w14:paraId="1D8EF5C5">
            <w:pPr>
              <w:jc w:val="center"/>
              <w:rPr>
                <w:rFonts w:hint="eastAsia" w:eastAsia="方正书宋_GBK"/>
                <w:sz w:val="24"/>
                <w:szCs w:val="24"/>
              </w:rPr>
            </w:pPr>
            <w:r>
              <w:rPr>
                <w:rFonts w:hint="eastAsia" w:eastAsia="方正书宋_GBK"/>
                <w:sz w:val="24"/>
                <w:szCs w:val="24"/>
              </w:rPr>
              <w:t>88</w:t>
            </w:r>
          </w:p>
        </w:tc>
        <w:tc>
          <w:tcPr>
            <w:tcW w:w="1078" w:type="dxa"/>
            <w:noWrap w:val="0"/>
            <w:tcMar>
              <w:top w:w="0" w:type="dxa"/>
              <w:left w:w="85" w:type="dxa"/>
              <w:bottom w:w="0" w:type="dxa"/>
              <w:right w:w="85" w:type="dxa"/>
            </w:tcMar>
            <w:vAlign w:val="center"/>
          </w:tcPr>
          <w:p w14:paraId="6DEEC520">
            <w:pPr>
              <w:jc w:val="center"/>
              <w:rPr>
                <w:rFonts w:hint="eastAsia" w:eastAsia="方正书宋_GBK"/>
                <w:sz w:val="24"/>
                <w:szCs w:val="24"/>
              </w:rPr>
            </w:pPr>
            <w:r>
              <w:rPr>
                <w:rFonts w:hint="eastAsia" w:eastAsia="方正书宋_GBK"/>
                <w:sz w:val="24"/>
                <w:szCs w:val="24"/>
              </w:rPr>
              <w:t>107</w:t>
            </w:r>
          </w:p>
        </w:tc>
        <w:tc>
          <w:tcPr>
            <w:tcW w:w="1702" w:type="dxa"/>
            <w:noWrap w:val="0"/>
            <w:tcMar>
              <w:top w:w="0" w:type="dxa"/>
              <w:left w:w="85" w:type="dxa"/>
              <w:bottom w:w="0" w:type="dxa"/>
              <w:right w:w="85" w:type="dxa"/>
            </w:tcMar>
            <w:vAlign w:val="center"/>
          </w:tcPr>
          <w:p w14:paraId="1A8BFA7A">
            <w:pPr>
              <w:jc w:val="center"/>
              <w:rPr>
                <w:rFonts w:hint="eastAsia" w:eastAsia="方正书宋_GBK"/>
                <w:sz w:val="24"/>
                <w:szCs w:val="24"/>
              </w:rPr>
            </w:pPr>
            <w:r>
              <w:rPr>
                <w:rFonts w:hint="eastAsia" w:eastAsia="方正书宋_GBK"/>
                <w:sz w:val="24"/>
                <w:szCs w:val="24"/>
              </w:rPr>
              <w:t>4.0</w:t>
            </w:r>
          </w:p>
        </w:tc>
      </w:tr>
      <w:tr w14:paraId="6EA4827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436ACBF">
            <w:pPr>
              <w:jc w:val="center"/>
              <w:rPr>
                <w:rFonts w:hint="eastAsia" w:eastAsia="方正书宋_GBK"/>
                <w:sz w:val="24"/>
                <w:szCs w:val="24"/>
              </w:rPr>
            </w:pPr>
            <w:r>
              <w:rPr>
                <w:rFonts w:hint="eastAsia" w:eastAsia="方正书宋_GBK"/>
                <w:sz w:val="24"/>
                <w:szCs w:val="24"/>
              </w:rPr>
              <w:t>7</w:t>
            </w:r>
          </w:p>
        </w:tc>
        <w:tc>
          <w:tcPr>
            <w:tcW w:w="3058" w:type="dxa"/>
            <w:noWrap w:val="0"/>
            <w:tcMar>
              <w:top w:w="0" w:type="dxa"/>
              <w:left w:w="85" w:type="dxa"/>
              <w:bottom w:w="0" w:type="dxa"/>
              <w:right w:w="85" w:type="dxa"/>
            </w:tcMar>
            <w:vAlign w:val="center"/>
          </w:tcPr>
          <w:p w14:paraId="5D37012C">
            <w:pPr>
              <w:rPr>
                <w:rFonts w:hint="eastAsia" w:eastAsia="方正书宋_GBK"/>
                <w:sz w:val="24"/>
                <w:szCs w:val="24"/>
              </w:rPr>
            </w:pPr>
            <w:r>
              <w:rPr>
                <w:rFonts w:hint="eastAsia" w:eastAsia="方正书宋_GBK"/>
                <w:sz w:val="24"/>
                <w:szCs w:val="24"/>
              </w:rPr>
              <w:t>天然气消费比重</w:t>
            </w:r>
          </w:p>
        </w:tc>
        <w:tc>
          <w:tcPr>
            <w:tcW w:w="1126" w:type="dxa"/>
            <w:noWrap w:val="0"/>
            <w:tcMar>
              <w:top w:w="0" w:type="dxa"/>
              <w:left w:w="85" w:type="dxa"/>
              <w:bottom w:w="0" w:type="dxa"/>
              <w:right w:w="85" w:type="dxa"/>
            </w:tcMar>
            <w:vAlign w:val="center"/>
          </w:tcPr>
          <w:p w14:paraId="168E12C6">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364864A7">
            <w:pPr>
              <w:jc w:val="center"/>
              <w:rPr>
                <w:rFonts w:hint="eastAsia" w:eastAsia="方正书宋_GBK"/>
                <w:sz w:val="24"/>
                <w:szCs w:val="24"/>
              </w:rPr>
            </w:pPr>
            <w:r>
              <w:rPr>
                <w:rFonts w:hint="eastAsia" w:eastAsia="方正书宋_GBK"/>
                <w:sz w:val="24"/>
                <w:szCs w:val="24"/>
              </w:rPr>
              <w:t>15.2</w:t>
            </w:r>
          </w:p>
        </w:tc>
        <w:tc>
          <w:tcPr>
            <w:tcW w:w="1078" w:type="dxa"/>
            <w:noWrap w:val="0"/>
            <w:tcMar>
              <w:top w:w="0" w:type="dxa"/>
              <w:left w:w="85" w:type="dxa"/>
              <w:bottom w:w="0" w:type="dxa"/>
              <w:right w:w="85" w:type="dxa"/>
            </w:tcMar>
            <w:vAlign w:val="center"/>
          </w:tcPr>
          <w:p w14:paraId="5C64AAC4">
            <w:pPr>
              <w:jc w:val="center"/>
              <w:rPr>
                <w:rFonts w:hint="eastAsia" w:eastAsia="方正书宋_GBK"/>
                <w:sz w:val="24"/>
                <w:szCs w:val="24"/>
              </w:rPr>
            </w:pPr>
            <w:r>
              <w:rPr>
                <w:rFonts w:hint="eastAsia" w:eastAsia="方正书宋_GBK"/>
                <w:sz w:val="24"/>
                <w:szCs w:val="24"/>
              </w:rPr>
              <w:t>15.7</w:t>
            </w:r>
          </w:p>
        </w:tc>
        <w:tc>
          <w:tcPr>
            <w:tcW w:w="1702" w:type="dxa"/>
            <w:noWrap w:val="0"/>
            <w:tcMar>
              <w:top w:w="0" w:type="dxa"/>
              <w:left w:w="85" w:type="dxa"/>
              <w:bottom w:w="0" w:type="dxa"/>
              <w:right w:w="85" w:type="dxa"/>
            </w:tcMar>
            <w:vAlign w:val="center"/>
          </w:tcPr>
          <w:p w14:paraId="47161965">
            <w:pPr>
              <w:jc w:val="center"/>
              <w:rPr>
                <w:rFonts w:hint="eastAsia" w:eastAsia="方正书宋_GBK"/>
                <w:sz w:val="24"/>
                <w:szCs w:val="24"/>
              </w:rPr>
            </w:pPr>
            <w:r>
              <w:rPr>
                <w:rFonts w:hint="eastAsia" w:eastAsia="方正书宋_GBK"/>
                <w:sz w:val="24"/>
                <w:szCs w:val="24"/>
              </w:rPr>
              <w:t>[0.5]</w:t>
            </w:r>
          </w:p>
        </w:tc>
      </w:tr>
      <w:tr w14:paraId="3A2FF55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5E62FF7F">
            <w:pPr>
              <w:jc w:val="center"/>
              <w:rPr>
                <w:rFonts w:hint="eastAsia" w:eastAsia="方正书宋_GBK"/>
                <w:sz w:val="24"/>
                <w:szCs w:val="24"/>
              </w:rPr>
            </w:pPr>
            <w:r>
              <w:rPr>
                <w:rFonts w:hint="eastAsia" w:eastAsia="方正书宋_GBK"/>
                <w:sz w:val="24"/>
                <w:szCs w:val="24"/>
              </w:rPr>
              <w:t>8</w:t>
            </w:r>
          </w:p>
        </w:tc>
        <w:tc>
          <w:tcPr>
            <w:tcW w:w="3058" w:type="dxa"/>
            <w:noWrap w:val="0"/>
            <w:tcMar>
              <w:top w:w="0" w:type="dxa"/>
              <w:left w:w="85" w:type="dxa"/>
              <w:bottom w:w="0" w:type="dxa"/>
              <w:right w:w="85" w:type="dxa"/>
            </w:tcMar>
            <w:vAlign w:val="center"/>
          </w:tcPr>
          <w:p w14:paraId="14244608">
            <w:pPr>
              <w:rPr>
                <w:rFonts w:hint="eastAsia" w:eastAsia="方正书宋_GBK"/>
                <w:sz w:val="24"/>
                <w:szCs w:val="24"/>
              </w:rPr>
            </w:pPr>
            <w:r>
              <w:rPr>
                <w:rFonts w:hint="eastAsia" w:eastAsia="方正书宋_GBK"/>
                <w:sz w:val="24"/>
                <w:szCs w:val="24"/>
              </w:rPr>
              <w:t>非化石能源消费量</w:t>
            </w:r>
          </w:p>
        </w:tc>
        <w:tc>
          <w:tcPr>
            <w:tcW w:w="1126" w:type="dxa"/>
            <w:noWrap w:val="0"/>
            <w:tcMar>
              <w:top w:w="0" w:type="dxa"/>
              <w:left w:w="85" w:type="dxa"/>
              <w:bottom w:w="0" w:type="dxa"/>
              <w:right w:w="85" w:type="dxa"/>
            </w:tcMar>
            <w:vAlign w:val="center"/>
          </w:tcPr>
          <w:p w14:paraId="2D9435D1">
            <w:pPr>
              <w:jc w:val="center"/>
              <w:rPr>
                <w:rFonts w:hint="eastAsia" w:eastAsia="方正书宋_GBK"/>
                <w:sz w:val="24"/>
                <w:szCs w:val="24"/>
              </w:rPr>
            </w:pPr>
            <w:r>
              <w:rPr>
                <w:rFonts w:hint="eastAsia" w:eastAsia="方正书宋_GBK"/>
                <w:sz w:val="24"/>
                <w:szCs w:val="24"/>
              </w:rPr>
              <w:t>万吨标煤</w:t>
            </w:r>
          </w:p>
        </w:tc>
        <w:tc>
          <w:tcPr>
            <w:tcW w:w="1203" w:type="dxa"/>
            <w:noWrap w:val="0"/>
            <w:tcMar>
              <w:top w:w="0" w:type="dxa"/>
              <w:left w:w="85" w:type="dxa"/>
              <w:bottom w:w="0" w:type="dxa"/>
              <w:right w:w="85" w:type="dxa"/>
            </w:tcMar>
            <w:vAlign w:val="center"/>
          </w:tcPr>
          <w:p w14:paraId="75CDB256">
            <w:pPr>
              <w:jc w:val="center"/>
              <w:rPr>
                <w:rFonts w:hint="eastAsia" w:eastAsia="方正书宋_GBK"/>
                <w:sz w:val="24"/>
                <w:szCs w:val="24"/>
              </w:rPr>
            </w:pPr>
            <w:r>
              <w:rPr>
                <w:rFonts w:hint="eastAsia" w:eastAsia="方正书宋_GBK"/>
                <w:sz w:val="24"/>
                <w:szCs w:val="24"/>
              </w:rPr>
              <w:t>1364</w:t>
            </w:r>
          </w:p>
        </w:tc>
        <w:tc>
          <w:tcPr>
            <w:tcW w:w="1078" w:type="dxa"/>
            <w:noWrap w:val="0"/>
            <w:tcMar>
              <w:top w:w="0" w:type="dxa"/>
              <w:left w:w="85" w:type="dxa"/>
              <w:bottom w:w="0" w:type="dxa"/>
              <w:right w:w="85" w:type="dxa"/>
            </w:tcMar>
            <w:vAlign w:val="center"/>
          </w:tcPr>
          <w:p w14:paraId="21961280">
            <w:pPr>
              <w:jc w:val="center"/>
              <w:rPr>
                <w:rFonts w:hint="eastAsia" w:eastAsia="方正书宋_GBK"/>
                <w:sz w:val="24"/>
                <w:szCs w:val="24"/>
              </w:rPr>
            </w:pPr>
            <w:r>
              <w:rPr>
                <w:rFonts w:hint="eastAsia" w:eastAsia="方正书宋_GBK"/>
                <w:sz w:val="24"/>
                <w:szCs w:val="24"/>
              </w:rPr>
              <w:t>1857</w:t>
            </w:r>
          </w:p>
        </w:tc>
        <w:tc>
          <w:tcPr>
            <w:tcW w:w="1702" w:type="dxa"/>
            <w:noWrap w:val="0"/>
            <w:tcMar>
              <w:top w:w="0" w:type="dxa"/>
              <w:left w:w="85" w:type="dxa"/>
              <w:bottom w:w="0" w:type="dxa"/>
              <w:right w:w="85" w:type="dxa"/>
            </w:tcMar>
            <w:vAlign w:val="center"/>
          </w:tcPr>
          <w:p w14:paraId="4194F398">
            <w:pPr>
              <w:jc w:val="center"/>
              <w:rPr>
                <w:rFonts w:hint="eastAsia" w:eastAsia="方正书宋_GBK"/>
                <w:sz w:val="24"/>
                <w:szCs w:val="24"/>
              </w:rPr>
            </w:pPr>
            <w:r>
              <w:rPr>
                <w:rFonts w:hint="eastAsia" w:eastAsia="方正书宋_GBK"/>
                <w:sz w:val="24"/>
                <w:szCs w:val="24"/>
              </w:rPr>
              <w:t>6.4</w:t>
            </w:r>
          </w:p>
        </w:tc>
      </w:tr>
      <w:tr w14:paraId="2250C68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03FFC36">
            <w:pPr>
              <w:jc w:val="center"/>
              <w:rPr>
                <w:rFonts w:hint="eastAsia" w:eastAsia="方正书宋_GBK"/>
                <w:sz w:val="24"/>
                <w:szCs w:val="24"/>
              </w:rPr>
            </w:pPr>
            <w:r>
              <w:rPr>
                <w:rFonts w:hint="eastAsia" w:eastAsia="方正书宋_GBK"/>
                <w:sz w:val="24"/>
                <w:szCs w:val="24"/>
              </w:rPr>
              <w:t>9</w:t>
            </w:r>
          </w:p>
        </w:tc>
        <w:tc>
          <w:tcPr>
            <w:tcW w:w="3058" w:type="dxa"/>
            <w:noWrap w:val="0"/>
            <w:tcMar>
              <w:top w:w="0" w:type="dxa"/>
              <w:left w:w="85" w:type="dxa"/>
              <w:bottom w:w="0" w:type="dxa"/>
              <w:right w:w="85" w:type="dxa"/>
            </w:tcMar>
            <w:vAlign w:val="center"/>
          </w:tcPr>
          <w:p w14:paraId="59B3025E">
            <w:pPr>
              <w:rPr>
                <w:rFonts w:hint="eastAsia" w:eastAsia="方正书宋_GBK"/>
                <w:sz w:val="24"/>
                <w:szCs w:val="24"/>
              </w:rPr>
            </w:pPr>
            <w:r>
              <w:rPr>
                <w:rFonts w:hint="eastAsia" w:eastAsia="方正书宋_GBK"/>
                <w:sz w:val="24"/>
                <w:szCs w:val="24"/>
              </w:rPr>
              <w:t>非化石能源消费比重</w:t>
            </w:r>
          </w:p>
        </w:tc>
        <w:tc>
          <w:tcPr>
            <w:tcW w:w="1126" w:type="dxa"/>
            <w:noWrap w:val="0"/>
            <w:tcMar>
              <w:top w:w="0" w:type="dxa"/>
              <w:left w:w="85" w:type="dxa"/>
              <w:bottom w:w="0" w:type="dxa"/>
              <w:right w:w="85" w:type="dxa"/>
            </w:tcMar>
            <w:vAlign w:val="center"/>
          </w:tcPr>
          <w:p w14:paraId="4AC47EE1">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66B09B47">
            <w:pPr>
              <w:jc w:val="center"/>
              <w:rPr>
                <w:rFonts w:hint="eastAsia" w:eastAsia="方正书宋_GBK"/>
                <w:sz w:val="24"/>
                <w:szCs w:val="24"/>
              </w:rPr>
            </w:pPr>
            <w:r>
              <w:rPr>
                <w:rFonts w:hint="eastAsia" w:eastAsia="方正书宋_GBK"/>
                <w:sz w:val="24"/>
                <w:szCs w:val="24"/>
              </w:rPr>
              <w:t>17.6</w:t>
            </w:r>
          </w:p>
        </w:tc>
        <w:tc>
          <w:tcPr>
            <w:tcW w:w="1078" w:type="dxa"/>
            <w:noWrap w:val="0"/>
            <w:tcMar>
              <w:top w:w="0" w:type="dxa"/>
              <w:left w:w="85" w:type="dxa"/>
              <w:bottom w:w="0" w:type="dxa"/>
              <w:right w:w="85" w:type="dxa"/>
            </w:tcMar>
            <w:vAlign w:val="center"/>
          </w:tcPr>
          <w:p w14:paraId="6F3D8F29">
            <w:pPr>
              <w:jc w:val="center"/>
              <w:rPr>
                <w:rFonts w:hint="eastAsia" w:eastAsia="方正书宋_GBK"/>
                <w:sz w:val="24"/>
                <w:szCs w:val="24"/>
              </w:rPr>
            </w:pPr>
            <w:r>
              <w:rPr>
                <w:rFonts w:hint="eastAsia" w:eastAsia="方正书宋_GBK"/>
                <w:sz w:val="24"/>
                <w:szCs w:val="24"/>
              </w:rPr>
              <w:t>20.9</w:t>
            </w:r>
          </w:p>
        </w:tc>
        <w:tc>
          <w:tcPr>
            <w:tcW w:w="1702" w:type="dxa"/>
            <w:noWrap w:val="0"/>
            <w:tcMar>
              <w:top w:w="0" w:type="dxa"/>
              <w:left w:w="85" w:type="dxa"/>
              <w:bottom w:w="0" w:type="dxa"/>
              <w:right w:w="85" w:type="dxa"/>
            </w:tcMar>
            <w:vAlign w:val="center"/>
          </w:tcPr>
          <w:p w14:paraId="094BF9F9">
            <w:pPr>
              <w:jc w:val="center"/>
              <w:rPr>
                <w:rFonts w:hint="eastAsia" w:eastAsia="方正书宋_GBK"/>
                <w:sz w:val="24"/>
                <w:szCs w:val="24"/>
              </w:rPr>
            </w:pPr>
            <w:r>
              <w:rPr>
                <w:rFonts w:hint="eastAsia" w:eastAsia="方正书宋_GBK"/>
                <w:sz w:val="24"/>
                <w:szCs w:val="24"/>
              </w:rPr>
              <w:t>[3.3]</w:t>
            </w:r>
          </w:p>
        </w:tc>
      </w:tr>
      <w:tr w14:paraId="1549BC7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0ABBC8C9">
            <w:pPr>
              <w:jc w:val="center"/>
              <w:rPr>
                <w:rFonts w:hint="eastAsia" w:eastAsia="方正书宋_GBK"/>
                <w:sz w:val="24"/>
                <w:szCs w:val="24"/>
              </w:rPr>
            </w:pPr>
            <w:r>
              <w:rPr>
                <w:rFonts w:hint="eastAsia" w:eastAsia="方正书宋_GBK"/>
                <w:sz w:val="24"/>
                <w:szCs w:val="24"/>
              </w:rPr>
              <w:t>10</w:t>
            </w:r>
          </w:p>
        </w:tc>
        <w:tc>
          <w:tcPr>
            <w:tcW w:w="3058" w:type="dxa"/>
            <w:noWrap w:val="0"/>
            <w:tcMar>
              <w:top w:w="0" w:type="dxa"/>
              <w:left w:w="85" w:type="dxa"/>
              <w:bottom w:w="0" w:type="dxa"/>
              <w:right w:w="85" w:type="dxa"/>
            </w:tcMar>
            <w:vAlign w:val="center"/>
          </w:tcPr>
          <w:p w14:paraId="5303E208">
            <w:pPr>
              <w:rPr>
                <w:rFonts w:hint="eastAsia" w:eastAsia="方正书宋_GBK"/>
                <w:sz w:val="24"/>
                <w:szCs w:val="24"/>
              </w:rPr>
            </w:pPr>
            <w:r>
              <w:rPr>
                <w:rFonts w:hint="eastAsia" w:eastAsia="方正书宋_GBK"/>
                <w:sz w:val="24"/>
                <w:szCs w:val="24"/>
              </w:rPr>
              <w:t>全社会用电量</w:t>
            </w:r>
          </w:p>
        </w:tc>
        <w:tc>
          <w:tcPr>
            <w:tcW w:w="1126" w:type="dxa"/>
            <w:noWrap w:val="0"/>
            <w:tcMar>
              <w:top w:w="0" w:type="dxa"/>
              <w:left w:w="85" w:type="dxa"/>
              <w:bottom w:w="0" w:type="dxa"/>
              <w:right w:w="85" w:type="dxa"/>
            </w:tcMar>
            <w:vAlign w:val="center"/>
          </w:tcPr>
          <w:p w14:paraId="2B698CCF">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14:paraId="455A6ED6">
            <w:pPr>
              <w:jc w:val="center"/>
              <w:rPr>
                <w:rFonts w:hint="eastAsia" w:eastAsia="方正书宋_GBK"/>
                <w:sz w:val="24"/>
                <w:szCs w:val="24"/>
              </w:rPr>
            </w:pPr>
            <w:r>
              <w:rPr>
                <w:rFonts w:hint="eastAsia" w:eastAsia="方正书宋_GBK"/>
                <w:sz w:val="24"/>
                <w:szCs w:val="24"/>
              </w:rPr>
              <w:t>875</w:t>
            </w:r>
          </w:p>
        </w:tc>
        <w:tc>
          <w:tcPr>
            <w:tcW w:w="1078" w:type="dxa"/>
            <w:noWrap w:val="0"/>
            <w:tcMar>
              <w:top w:w="0" w:type="dxa"/>
              <w:left w:w="85" w:type="dxa"/>
              <w:bottom w:w="0" w:type="dxa"/>
              <w:right w:w="85" w:type="dxa"/>
            </w:tcMar>
            <w:vAlign w:val="center"/>
          </w:tcPr>
          <w:p w14:paraId="56FEA9AB">
            <w:pPr>
              <w:jc w:val="center"/>
              <w:rPr>
                <w:rFonts w:hint="eastAsia" w:eastAsia="方正书宋_GBK"/>
                <w:sz w:val="24"/>
                <w:szCs w:val="24"/>
              </w:rPr>
            </w:pPr>
            <w:r>
              <w:rPr>
                <w:rFonts w:hint="eastAsia" w:eastAsia="方正书宋_GBK"/>
                <w:sz w:val="24"/>
                <w:szCs w:val="24"/>
              </w:rPr>
              <w:t>1187</w:t>
            </w:r>
          </w:p>
        </w:tc>
        <w:tc>
          <w:tcPr>
            <w:tcW w:w="1702" w:type="dxa"/>
            <w:noWrap w:val="0"/>
            <w:tcMar>
              <w:top w:w="0" w:type="dxa"/>
              <w:left w:w="85" w:type="dxa"/>
              <w:bottom w:w="0" w:type="dxa"/>
              <w:right w:w="85" w:type="dxa"/>
            </w:tcMar>
            <w:vAlign w:val="center"/>
          </w:tcPr>
          <w:p w14:paraId="33C94D09">
            <w:pPr>
              <w:jc w:val="center"/>
              <w:rPr>
                <w:rFonts w:hint="eastAsia" w:eastAsia="方正书宋_GBK"/>
                <w:sz w:val="24"/>
                <w:szCs w:val="24"/>
              </w:rPr>
            </w:pPr>
            <w:r>
              <w:rPr>
                <w:rFonts w:hint="eastAsia" w:eastAsia="方正书宋_GBK"/>
                <w:sz w:val="24"/>
                <w:szCs w:val="24"/>
              </w:rPr>
              <w:t>6.3</w:t>
            </w:r>
          </w:p>
        </w:tc>
      </w:tr>
      <w:tr w14:paraId="4C50241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21C4BFE7">
            <w:pPr>
              <w:jc w:val="center"/>
              <w:rPr>
                <w:rFonts w:hint="eastAsia" w:eastAsia="方正书宋_GBK"/>
                <w:sz w:val="24"/>
                <w:szCs w:val="24"/>
              </w:rPr>
            </w:pPr>
            <w:r>
              <w:rPr>
                <w:rFonts w:hint="eastAsia" w:eastAsia="方正书宋_GBK"/>
                <w:sz w:val="24"/>
                <w:szCs w:val="24"/>
              </w:rPr>
              <w:t>11</w:t>
            </w:r>
          </w:p>
        </w:tc>
        <w:tc>
          <w:tcPr>
            <w:tcW w:w="3058" w:type="dxa"/>
            <w:noWrap w:val="0"/>
            <w:tcMar>
              <w:top w:w="0" w:type="dxa"/>
              <w:left w:w="85" w:type="dxa"/>
              <w:bottom w:w="0" w:type="dxa"/>
              <w:right w:w="85" w:type="dxa"/>
            </w:tcMar>
            <w:vAlign w:val="center"/>
          </w:tcPr>
          <w:p w14:paraId="0536F620">
            <w:pPr>
              <w:rPr>
                <w:rFonts w:hint="eastAsia" w:eastAsia="方正书宋_GBK"/>
                <w:sz w:val="24"/>
                <w:szCs w:val="24"/>
              </w:rPr>
            </w:pPr>
            <w:r>
              <w:rPr>
                <w:rFonts w:hint="eastAsia" w:eastAsia="方正书宋_GBK"/>
                <w:sz w:val="24"/>
                <w:szCs w:val="24"/>
              </w:rPr>
              <w:t>电力装机容量</w:t>
            </w:r>
          </w:p>
        </w:tc>
        <w:tc>
          <w:tcPr>
            <w:tcW w:w="1126" w:type="dxa"/>
            <w:noWrap w:val="0"/>
            <w:tcMar>
              <w:top w:w="0" w:type="dxa"/>
              <w:left w:w="85" w:type="dxa"/>
              <w:bottom w:w="0" w:type="dxa"/>
              <w:right w:w="85" w:type="dxa"/>
            </w:tcMar>
            <w:vAlign w:val="center"/>
          </w:tcPr>
          <w:p w14:paraId="1A1AF431">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14:paraId="7A5303D4">
            <w:pPr>
              <w:jc w:val="center"/>
              <w:rPr>
                <w:rFonts w:hint="eastAsia" w:eastAsia="方正书宋_GBK"/>
                <w:sz w:val="24"/>
                <w:szCs w:val="24"/>
              </w:rPr>
            </w:pPr>
            <w:r>
              <w:rPr>
                <w:rFonts w:hint="eastAsia" w:eastAsia="方正书宋_GBK"/>
                <w:sz w:val="24"/>
                <w:szCs w:val="24"/>
              </w:rPr>
              <w:t>2110</w:t>
            </w:r>
          </w:p>
        </w:tc>
        <w:tc>
          <w:tcPr>
            <w:tcW w:w="1078" w:type="dxa"/>
            <w:noWrap w:val="0"/>
            <w:tcMar>
              <w:top w:w="0" w:type="dxa"/>
              <w:left w:w="85" w:type="dxa"/>
              <w:bottom w:w="0" w:type="dxa"/>
              <w:right w:w="85" w:type="dxa"/>
            </w:tcMar>
            <w:vAlign w:val="center"/>
          </w:tcPr>
          <w:p w14:paraId="57C455B0">
            <w:pPr>
              <w:jc w:val="center"/>
              <w:rPr>
                <w:rFonts w:hint="eastAsia" w:eastAsia="方正书宋_GBK"/>
                <w:sz w:val="24"/>
                <w:szCs w:val="24"/>
              </w:rPr>
            </w:pPr>
            <w:r>
              <w:rPr>
                <w:rFonts w:hint="eastAsia" w:eastAsia="方正书宋_GBK"/>
                <w:sz w:val="24"/>
                <w:szCs w:val="24"/>
              </w:rPr>
              <w:t>2607</w:t>
            </w:r>
          </w:p>
        </w:tc>
        <w:tc>
          <w:tcPr>
            <w:tcW w:w="1702" w:type="dxa"/>
            <w:noWrap w:val="0"/>
            <w:tcMar>
              <w:top w:w="0" w:type="dxa"/>
              <w:left w:w="85" w:type="dxa"/>
              <w:bottom w:w="0" w:type="dxa"/>
              <w:right w:w="85" w:type="dxa"/>
            </w:tcMar>
            <w:vAlign w:val="center"/>
          </w:tcPr>
          <w:p w14:paraId="4A48C9CF">
            <w:pPr>
              <w:jc w:val="center"/>
              <w:rPr>
                <w:rFonts w:hint="eastAsia" w:eastAsia="方正书宋_GBK"/>
                <w:sz w:val="24"/>
                <w:szCs w:val="24"/>
              </w:rPr>
            </w:pPr>
            <w:r>
              <w:rPr>
                <w:rFonts w:hint="eastAsia" w:eastAsia="方正书宋_GBK"/>
                <w:sz w:val="24"/>
                <w:szCs w:val="24"/>
              </w:rPr>
              <w:t>4.3</w:t>
            </w:r>
          </w:p>
        </w:tc>
      </w:tr>
      <w:tr w14:paraId="2D42E54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89C950A">
            <w:pPr>
              <w:jc w:val="center"/>
              <w:rPr>
                <w:rFonts w:hint="eastAsia" w:eastAsia="方正书宋_GBK"/>
                <w:sz w:val="24"/>
                <w:szCs w:val="24"/>
              </w:rPr>
            </w:pPr>
            <w:r>
              <w:rPr>
                <w:rFonts w:hint="eastAsia" w:eastAsia="方正书宋_GBK"/>
                <w:sz w:val="24"/>
                <w:szCs w:val="24"/>
              </w:rPr>
              <w:t>12</w:t>
            </w:r>
          </w:p>
        </w:tc>
        <w:tc>
          <w:tcPr>
            <w:tcW w:w="3058" w:type="dxa"/>
            <w:noWrap w:val="0"/>
            <w:tcMar>
              <w:top w:w="0" w:type="dxa"/>
              <w:left w:w="85" w:type="dxa"/>
              <w:bottom w:w="0" w:type="dxa"/>
              <w:right w:w="85" w:type="dxa"/>
            </w:tcMar>
            <w:vAlign w:val="center"/>
          </w:tcPr>
          <w:p w14:paraId="1A480296">
            <w:pPr>
              <w:rPr>
                <w:rFonts w:hint="eastAsia" w:eastAsia="方正书宋_GBK"/>
                <w:sz w:val="24"/>
                <w:szCs w:val="24"/>
              </w:rPr>
            </w:pPr>
            <w:r>
              <w:rPr>
                <w:rFonts w:hint="eastAsia" w:eastAsia="方正书宋_GBK"/>
                <w:sz w:val="24"/>
                <w:szCs w:val="24"/>
              </w:rPr>
              <w:t>其中：水电</w:t>
            </w:r>
          </w:p>
        </w:tc>
        <w:tc>
          <w:tcPr>
            <w:tcW w:w="1126" w:type="dxa"/>
            <w:noWrap w:val="0"/>
            <w:tcMar>
              <w:top w:w="0" w:type="dxa"/>
              <w:left w:w="85" w:type="dxa"/>
              <w:bottom w:w="0" w:type="dxa"/>
              <w:right w:w="85" w:type="dxa"/>
            </w:tcMar>
            <w:vAlign w:val="center"/>
          </w:tcPr>
          <w:p w14:paraId="234E90AD">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14:paraId="5CC45E69">
            <w:pPr>
              <w:jc w:val="center"/>
              <w:rPr>
                <w:rFonts w:hint="eastAsia" w:eastAsia="方正书宋_GBK"/>
                <w:sz w:val="24"/>
                <w:szCs w:val="24"/>
              </w:rPr>
            </w:pPr>
            <w:r>
              <w:rPr>
                <w:rFonts w:hint="eastAsia" w:eastAsia="方正书宋_GBK"/>
                <w:sz w:val="24"/>
                <w:szCs w:val="24"/>
              </w:rPr>
              <w:t>676</w:t>
            </w:r>
          </w:p>
        </w:tc>
        <w:tc>
          <w:tcPr>
            <w:tcW w:w="1078" w:type="dxa"/>
            <w:noWrap w:val="0"/>
            <w:tcMar>
              <w:top w:w="0" w:type="dxa"/>
              <w:left w:w="85" w:type="dxa"/>
              <w:bottom w:w="0" w:type="dxa"/>
              <w:right w:w="85" w:type="dxa"/>
            </w:tcMar>
            <w:vAlign w:val="center"/>
          </w:tcPr>
          <w:p w14:paraId="1D5D6590">
            <w:pPr>
              <w:jc w:val="center"/>
              <w:rPr>
                <w:rFonts w:hint="eastAsia" w:eastAsia="方正书宋_GBK"/>
                <w:sz w:val="24"/>
                <w:szCs w:val="24"/>
              </w:rPr>
            </w:pPr>
            <w:r>
              <w:rPr>
                <w:rFonts w:hint="eastAsia" w:eastAsia="方正书宋_GBK"/>
                <w:sz w:val="24"/>
                <w:szCs w:val="24"/>
              </w:rPr>
              <w:t>779</w:t>
            </w:r>
          </w:p>
        </w:tc>
        <w:tc>
          <w:tcPr>
            <w:tcW w:w="1702" w:type="dxa"/>
            <w:noWrap w:val="0"/>
            <w:tcMar>
              <w:top w:w="0" w:type="dxa"/>
              <w:left w:w="85" w:type="dxa"/>
              <w:bottom w:w="0" w:type="dxa"/>
              <w:right w:w="85" w:type="dxa"/>
            </w:tcMar>
            <w:vAlign w:val="center"/>
          </w:tcPr>
          <w:p w14:paraId="1E525D36">
            <w:pPr>
              <w:jc w:val="center"/>
              <w:rPr>
                <w:rFonts w:hint="eastAsia" w:eastAsia="方正书宋_GBK"/>
                <w:sz w:val="24"/>
                <w:szCs w:val="24"/>
              </w:rPr>
            </w:pPr>
            <w:r>
              <w:rPr>
                <w:rFonts w:hint="eastAsia" w:eastAsia="方正书宋_GBK"/>
                <w:sz w:val="24"/>
                <w:szCs w:val="24"/>
              </w:rPr>
              <w:t>2.9</w:t>
            </w:r>
          </w:p>
        </w:tc>
      </w:tr>
      <w:tr w14:paraId="4FE7875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9C8A5EF">
            <w:pPr>
              <w:jc w:val="center"/>
              <w:rPr>
                <w:rFonts w:hint="eastAsia" w:eastAsia="方正书宋_GBK"/>
                <w:sz w:val="24"/>
                <w:szCs w:val="24"/>
              </w:rPr>
            </w:pPr>
            <w:r>
              <w:rPr>
                <w:rFonts w:hint="eastAsia" w:eastAsia="方正书宋_GBK"/>
                <w:sz w:val="24"/>
                <w:szCs w:val="24"/>
              </w:rPr>
              <w:t>13</w:t>
            </w:r>
          </w:p>
        </w:tc>
        <w:tc>
          <w:tcPr>
            <w:tcW w:w="3058" w:type="dxa"/>
            <w:noWrap w:val="0"/>
            <w:tcMar>
              <w:top w:w="0" w:type="dxa"/>
              <w:left w:w="85" w:type="dxa"/>
              <w:bottom w:w="0" w:type="dxa"/>
              <w:right w:w="85" w:type="dxa"/>
            </w:tcMar>
            <w:vAlign w:val="center"/>
          </w:tcPr>
          <w:p w14:paraId="0B7F2123">
            <w:pPr>
              <w:rPr>
                <w:rFonts w:hint="eastAsia" w:eastAsia="方正书宋_GBK"/>
                <w:sz w:val="24"/>
                <w:szCs w:val="24"/>
              </w:rPr>
            </w:pPr>
            <w:r>
              <w:rPr>
                <w:rFonts w:hint="eastAsia" w:eastAsia="方正书宋_GBK"/>
                <w:sz w:val="24"/>
                <w:szCs w:val="24"/>
              </w:rPr>
              <w:t>火电（含生物质）</w:t>
            </w:r>
          </w:p>
        </w:tc>
        <w:tc>
          <w:tcPr>
            <w:tcW w:w="1126" w:type="dxa"/>
            <w:noWrap w:val="0"/>
            <w:tcMar>
              <w:top w:w="0" w:type="dxa"/>
              <w:left w:w="85" w:type="dxa"/>
              <w:bottom w:w="0" w:type="dxa"/>
              <w:right w:w="85" w:type="dxa"/>
            </w:tcMar>
            <w:vAlign w:val="center"/>
          </w:tcPr>
          <w:p w14:paraId="3AC9B910">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14:paraId="7F44B211">
            <w:pPr>
              <w:jc w:val="center"/>
              <w:rPr>
                <w:rFonts w:hint="eastAsia" w:eastAsia="方正书宋_GBK"/>
                <w:sz w:val="24"/>
                <w:szCs w:val="24"/>
              </w:rPr>
            </w:pPr>
            <w:r>
              <w:rPr>
                <w:rFonts w:hint="eastAsia" w:eastAsia="方正书宋_GBK"/>
                <w:sz w:val="24"/>
                <w:szCs w:val="24"/>
              </w:rPr>
              <w:t>1411</w:t>
            </w:r>
          </w:p>
        </w:tc>
        <w:tc>
          <w:tcPr>
            <w:tcW w:w="1078" w:type="dxa"/>
            <w:noWrap w:val="0"/>
            <w:tcMar>
              <w:top w:w="0" w:type="dxa"/>
              <w:left w:w="85" w:type="dxa"/>
              <w:bottom w:w="0" w:type="dxa"/>
              <w:right w:w="85" w:type="dxa"/>
            </w:tcMar>
            <w:vAlign w:val="center"/>
          </w:tcPr>
          <w:p w14:paraId="633B997C">
            <w:pPr>
              <w:jc w:val="center"/>
              <w:rPr>
                <w:rFonts w:hint="eastAsia" w:eastAsia="方正书宋_GBK"/>
                <w:sz w:val="24"/>
                <w:szCs w:val="24"/>
              </w:rPr>
            </w:pPr>
            <w:r>
              <w:rPr>
                <w:rFonts w:hint="eastAsia" w:eastAsia="方正书宋_GBK"/>
                <w:sz w:val="24"/>
                <w:szCs w:val="24"/>
              </w:rPr>
              <w:t>1663</w:t>
            </w:r>
          </w:p>
        </w:tc>
        <w:tc>
          <w:tcPr>
            <w:tcW w:w="1702" w:type="dxa"/>
            <w:noWrap w:val="0"/>
            <w:tcMar>
              <w:top w:w="0" w:type="dxa"/>
              <w:left w:w="85" w:type="dxa"/>
              <w:bottom w:w="0" w:type="dxa"/>
              <w:right w:w="85" w:type="dxa"/>
            </w:tcMar>
            <w:vAlign w:val="center"/>
          </w:tcPr>
          <w:p w14:paraId="0AF1CE19">
            <w:pPr>
              <w:jc w:val="center"/>
              <w:rPr>
                <w:rFonts w:hint="eastAsia" w:eastAsia="方正书宋_GBK"/>
                <w:sz w:val="24"/>
                <w:szCs w:val="24"/>
              </w:rPr>
            </w:pPr>
            <w:r>
              <w:rPr>
                <w:rFonts w:hint="eastAsia" w:eastAsia="方正书宋_GBK"/>
                <w:sz w:val="24"/>
                <w:szCs w:val="24"/>
              </w:rPr>
              <w:t>3.4</w:t>
            </w:r>
          </w:p>
        </w:tc>
      </w:tr>
      <w:tr w14:paraId="24D23F7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8267C20">
            <w:pPr>
              <w:jc w:val="center"/>
              <w:rPr>
                <w:rFonts w:hint="eastAsia" w:eastAsia="方正书宋_GBK"/>
                <w:sz w:val="24"/>
                <w:szCs w:val="24"/>
              </w:rPr>
            </w:pPr>
            <w:r>
              <w:rPr>
                <w:rFonts w:hint="eastAsia" w:eastAsia="方正书宋_GBK"/>
                <w:sz w:val="24"/>
                <w:szCs w:val="24"/>
              </w:rPr>
              <w:t>14</w:t>
            </w:r>
          </w:p>
        </w:tc>
        <w:tc>
          <w:tcPr>
            <w:tcW w:w="3058" w:type="dxa"/>
            <w:noWrap w:val="0"/>
            <w:tcMar>
              <w:top w:w="0" w:type="dxa"/>
              <w:left w:w="85" w:type="dxa"/>
              <w:bottom w:w="0" w:type="dxa"/>
              <w:right w:w="85" w:type="dxa"/>
            </w:tcMar>
            <w:vAlign w:val="center"/>
          </w:tcPr>
          <w:p w14:paraId="6D9C6FA6">
            <w:pPr>
              <w:rPr>
                <w:rFonts w:hint="eastAsia" w:eastAsia="方正书宋_GBK"/>
                <w:sz w:val="24"/>
                <w:szCs w:val="24"/>
              </w:rPr>
            </w:pPr>
            <w:r>
              <w:rPr>
                <w:rFonts w:hint="eastAsia" w:eastAsia="方正书宋_GBK"/>
                <w:sz w:val="24"/>
                <w:szCs w:val="24"/>
              </w:rPr>
              <w:t>非水可再生能源（含生物质）</w:t>
            </w:r>
          </w:p>
        </w:tc>
        <w:tc>
          <w:tcPr>
            <w:tcW w:w="1126" w:type="dxa"/>
            <w:noWrap w:val="0"/>
            <w:tcMar>
              <w:top w:w="0" w:type="dxa"/>
              <w:left w:w="85" w:type="dxa"/>
              <w:bottom w:w="0" w:type="dxa"/>
              <w:right w:w="85" w:type="dxa"/>
            </w:tcMar>
            <w:vAlign w:val="center"/>
          </w:tcPr>
          <w:p w14:paraId="3952614A">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14:paraId="10FEC58B">
            <w:pPr>
              <w:jc w:val="center"/>
              <w:rPr>
                <w:rFonts w:hint="eastAsia" w:eastAsia="方正书宋_GBK"/>
                <w:sz w:val="24"/>
                <w:szCs w:val="24"/>
              </w:rPr>
            </w:pPr>
            <w:r>
              <w:rPr>
                <w:rFonts w:hint="eastAsia" w:eastAsia="方正书宋_GBK"/>
                <w:sz w:val="24"/>
                <w:szCs w:val="24"/>
              </w:rPr>
              <w:t>39.04</w:t>
            </w:r>
          </w:p>
        </w:tc>
        <w:tc>
          <w:tcPr>
            <w:tcW w:w="1078" w:type="dxa"/>
            <w:noWrap w:val="0"/>
            <w:tcMar>
              <w:top w:w="0" w:type="dxa"/>
              <w:left w:w="85" w:type="dxa"/>
              <w:bottom w:w="0" w:type="dxa"/>
              <w:right w:w="85" w:type="dxa"/>
            </w:tcMar>
            <w:vAlign w:val="center"/>
          </w:tcPr>
          <w:p w14:paraId="624157DF">
            <w:pPr>
              <w:jc w:val="center"/>
              <w:rPr>
                <w:rFonts w:hint="eastAsia" w:eastAsia="方正书宋_GBK"/>
                <w:sz w:val="24"/>
                <w:szCs w:val="24"/>
              </w:rPr>
            </w:pPr>
            <w:r>
              <w:rPr>
                <w:rFonts w:hint="eastAsia" w:eastAsia="方正书宋_GBK"/>
                <w:sz w:val="24"/>
                <w:szCs w:val="24"/>
              </w:rPr>
              <w:t>199</w:t>
            </w:r>
          </w:p>
        </w:tc>
        <w:tc>
          <w:tcPr>
            <w:tcW w:w="1702" w:type="dxa"/>
            <w:noWrap w:val="0"/>
            <w:tcMar>
              <w:top w:w="0" w:type="dxa"/>
              <w:left w:w="85" w:type="dxa"/>
              <w:bottom w:w="0" w:type="dxa"/>
              <w:right w:w="85" w:type="dxa"/>
            </w:tcMar>
            <w:vAlign w:val="center"/>
          </w:tcPr>
          <w:p w14:paraId="273ED5C3">
            <w:pPr>
              <w:jc w:val="center"/>
              <w:rPr>
                <w:rFonts w:hint="eastAsia" w:eastAsia="方正书宋_GBK"/>
                <w:sz w:val="24"/>
                <w:szCs w:val="24"/>
              </w:rPr>
            </w:pPr>
            <w:r>
              <w:rPr>
                <w:rFonts w:hint="eastAsia" w:eastAsia="方正书宋_GBK"/>
                <w:sz w:val="24"/>
                <w:szCs w:val="24"/>
              </w:rPr>
              <w:t>38.9</w:t>
            </w:r>
          </w:p>
        </w:tc>
      </w:tr>
      <w:tr w14:paraId="3E543FB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F295064">
            <w:pPr>
              <w:jc w:val="center"/>
              <w:rPr>
                <w:rFonts w:hint="eastAsia" w:eastAsia="方正书宋_GBK"/>
                <w:sz w:val="24"/>
                <w:szCs w:val="24"/>
              </w:rPr>
            </w:pPr>
            <w:r>
              <w:rPr>
                <w:rFonts w:hint="eastAsia" w:eastAsia="方正书宋_GBK"/>
                <w:sz w:val="24"/>
                <w:szCs w:val="24"/>
              </w:rPr>
              <w:t>15</w:t>
            </w:r>
          </w:p>
        </w:tc>
        <w:tc>
          <w:tcPr>
            <w:tcW w:w="3058" w:type="dxa"/>
            <w:noWrap w:val="0"/>
            <w:tcMar>
              <w:top w:w="0" w:type="dxa"/>
              <w:left w:w="85" w:type="dxa"/>
              <w:bottom w:w="0" w:type="dxa"/>
              <w:right w:w="85" w:type="dxa"/>
            </w:tcMar>
            <w:vAlign w:val="center"/>
          </w:tcPr>
          <w:p w14:paraId="2E5CBC26">
            <w:pPr>
              <w:rPr>
                <w:rFonts w:hint="eastAsia" w:eastAsia="方正书宋_GBK"/>
                <w:sz w:val="24"/>
                <w:szCs w:val="24"/>
              </w:rPr>
            </w:pPr>
            <w:r>
              <w:rPr>
                <w:rFonts w:hint="eastAsia" w:eastAsia="方正书宋_GBK"/>
                <w:sz w:val="24"/>
                <w:szCs w:val="24"/>
              </w:rPr>
              <w:t>发电量</w:t>
            </w:r>
          </w:p>
        </w:tc>
        <w:tc>
          <w:tcPr>
            <w:tcW w:w="1126" w:type="dxa"/>
            <w:noWrap w:val="0"/>
            <w:tcMar>
              <w:top w:w="0" w:type="dxa"/>
              <w:left w:w="85" w:type="dxa"/>
              <w:bottom w:w="0" w:type="dxa"/>
              <w:right w:w="85" w:type="dxa"/>
            </w:tcMar>
            <w:vAlign w:val="center"/>
          </w:tcPr>
          <w:p w14:paraId="3C8A5FB4">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14:paraId="5E60812D">
            <w:pPr>
              <w:jc w:val="center"/>
              <w:rPr>
                <w:rFonts w:hint="eastAsia" w:eastAsia="方正书宋_GBK"/>
                <w:sz w:val="24"/>
                <w:szCs w:val="24"/>
              </w:rPr>
            </w:pPr>
            <w:r>
              <w:rPr>
                <w:rFonts w:hint="eastAsia" w:eastAsia="方正书宋_GBK"/>
                <w:sz w:val="24"/>
                <w:szCs w:val="24"/>
              </w:rPr>
              <w:t>682.63</w:t>
            </w:r>
          </w:p>
        </w:tc>
        <w:tc>
          <w:tcPr>
            <w:tcW w:w="1078" w:type="dxa"/>
            <w:noWrap w:val="0"/>
            <w:tcMar>
              <w:top w:w="0" w:type="dxa"/>
              <w:left w:w="85" w:type="dxa"/>
              <w:bottom w:w="0" w:type="dxa"/>
              <w:right w:w="85" w:type="dxa"/>
            </w:tcMar>
            <w:vAlign w:val="center"/>
          </w:tcPr>
          <w:p w14:paraId="64563A64">
            <w:pPr>
              <w:jc w:val="center"/>
              <w:rPr>
                <w:rFonts w:hint="eastAsia" w:eastAsia="方正书宋_GBK"/>
                <w:sz w:val="24"/>
                <w:szCs w:val="24"/>
              </w:rPr>
            </w:pPr>
            <w:r>
              <w:rPr>
                <w:rFonts w:hint="eastAsia" w:eastAsia="方正书宋_GBK"/>
                <w:sz w:val="24"/>
                <w:szCs w:val="24"/>
              </w:rPr>
              <w:t>865</w:t>
            </w:r>
          </w:p>
        </w:tc>
        <w:tc>
          <w:tcPr>
            <w:tcW w:w="1702" w:type="dxa"/>
            <w:noWrap w:val="0"/>
            <w:tcMar>
              <w:top w:w="0" w:type="dxa"/>
              <w:left w:w="85" w:type="dxa"/>
              <w:bottom w:w="0" w:type="dxa"/>
              <w:right w:w="85" w:type="dxa"/>
            </w:tcMar>
            <w:vAlign w:val="center"/>
          </w:tcPr>
          <w:p w14:paraId="07526A29">
            <w:pPr>
              <w:jc w:val="center"/>
              <w:rPr>
                <w:rFonts w:hint="eastAsia" w:eastAsia="方正书宋_GBK"/>
                <w:sz w:val="24"/>
                <w:szCs w:val="24"/>
              </w:rPr>
            </w:pPr>
            <w:r>
              <w:rPr>
                <w:rFonts w:hint="eastAsia" w:eastAsia="方正书宋_GBK"/>
                <w:sz w:val="24"/>
                <w:szCs w:val="24"/>
              </w:rPr>
              <w:t>4.9</w:t>
            </w:r>
          </w:p>
        </w:tc>
      </w:tr>
      <w:tr w14:paraId="464DF3B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1A1FBD52">
            <w:pPr>
              <w:jc w:val="center"/>
              <w:rPr>
                <w:rFonts w:hint="eastAsia" w:eastAsia="方正书宋_GBK"/>
                <w:sz w:val="24"/>
                <w:szCs w:val="24"/>
              </w:rPr>
            </w:pPr>
            <w:r>
              <w:rPr>
                <w:rFonts w:hint="eastAsia" w:eastAsia="方正书宋_GBK"/>
                <w:sz w:val="24"/>
                <w:szCs w:val="24"/>
              </w:rPr>
              <w:t>16</w:t>
            </w:r>
          </w:p>
        </w:tc>
        <w:tc>
          <w:tcPr>
            <w:tcW w:w="3058" w:type="dxa"/>
            <w:noWrap w:val="0"/>
            <w:tcMar>
              <w:top w:w="0" w:type="dxa"/>
              <w:left w:w="85" w:type="dxa"/>
              <w:bottom w:w="0" w:type="dxa"/>
              <w:right w:w="85" w:type="dxa"/>
            </w:tcMar>
            <w:vAlign w:val="center"/>
          </w:tcPr>
          <w:p w14:paraId="70EC19B7">
            <w:pPr>
              <w:rPr>
                <w:rFonts w:hint="eastAsia" w:eastAsia="方正书宋_GBK"/>
                <w:sz w:val="24"/>
                <w:szCs w:val="24"/>
              </w:rPr>
            </w:pPr>
            <w:r>
              <w:rPr>
                <w:rFonts w:hint="eastAsia" w:eastAsia="方正书宋_GBK"/>
                <w:sz w:val="24"/>
                <w:szCs w:val="24"/>
              </w:rPr>
              <w:t>水电</w:t>
            </w:r>
          </w:p>
        </w:tc>
        <w:tc>
          <w:tcPr>
            <w:tcW w:w="1126" w:type="dxa"/>
            <w:noWrap w:val="0"/>
            <w:tcMar>
              <w:top w:w="0" w:type="dxa"/>
              <w:left w:w="85" w:type="dxa"/>
              <w:bottom w:w="0" w:type="dxa"/>
              <w:right w:w="85" w:type="dxa"/>
            </w:tcMar>
            <w:vAlign w:val="center"/>
          </w:tcPr>
          <w:p w14:paraId="6DFE42B7">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14:paraId="393D4737">
            <w:pPr>
              <w:jc w:val="center"/>
              <w:rPr>
                <w:rFonts w:hint="eastAsia" w:eastAsia="方正书宋_GBK"/>
                <w:sz w:val="24"/>
                <w:szCs w:val="24"/>
              </w:rPr>
            </w:pPr>
            <w:r>
              <w:rPr>
                <w:rFonts w:hint="eastAsia" w:eastAsia="方正书宋_GBK"/>
                <w:sz w:val="24"/>
                <w:szCs w:val="24"/>
              </w:rPr>
              <w:t>229.44</w:t>
            </w:r>
          </w:p>
        </w:tc>
        <w:tc>
          <w:tcPr>
            <w:tcW w:w="1078" w:type="dxa"/>
            <w:noWrap w:val="0"/>
            <w:tcMar>
              <w:top w:w="0" w:type="dxa"/>
              <w:left w:w="85" w:type="dxa"/>
              <w:bottom w:w="0" w:type="dxa"/>
              <w:right w:w="85" w:type="dxa"/>
            </w:tcMar>
            <w:vAlign w:val="center"/>
          </w:tcPr>
          <w:p w14:paraId="05AE8273">
            <w:pPr>
              <w:jc w:val="center"/>
              <w:rPr>
                <w:rFonts w:hint="eastAsia" w:eastAsia="方正书宋_GBK"/>
                <w:sz w:val="24"/>
                <w:szCs w:val="24"/>
              </w:rPr>
            </w:pPr>
            <w:r>
              <w:rPr>
                <w:rFonts w:hint="eastAsia" w:eastAsia="方正书宋_GBK"/>
                <w:sz w:val="24"/>
                <w:szCs w:val="24"/>
              </w:rPr>
              <w:t>281</w:t>
            </w:r>
          </w:p>
        </w:tc>
        <w:tc>
          <w:tcPr>
            <w:tcW w:w="1702" w:type="dxa"/>
            <w:noWrap w:val="0"/>
            <w:tcMar>
              <w:top w:w="0" w:type="dxa"/>
              <w:left w:w="85" w:type="dxa"/>
              <w:bottom w:w="0" w:type="dxa"/>
              <w:right w:w="85" w:type="dxa"/>
            </w:tcMar>
            <w:vAlign w:val="center"/>
          </w:tcPr>
          <w:p w14:paraId="28452D1D">
            <w:pPr>
              <w:jc w:val="center"/>
              <w:rPr>
                <w:rFonts w:hint="eastAsia" w:eastAsia="方正书宋_GBK"/>
                <w:sz w:val="24"/>
                <w:szCs w:val="24"/>
              </w:rPr>
            </w:pPr>
            <w:r>
              <w:rPr>
                <w:rFonts w:hint="eastAsia" w:eastAsia="方正书宋_GBK"/>
                <w:sz w:val="24"/>
                <w:szCs w:val="24"/>
              </w:rPr>
              <w:t>4.1</w:t>
            </w:r>
          </w:p>
        </w:tc>
      </w:tr>
      <w:tr w14:paraId="2CE2D81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49FE2D1B">
            <w:pPr>
              <w:jc w:val="center"/>
              <w:rPr>
                <w:rFonts w:hint="eastAsia" w:eastAsia="方正书宋_GBK"/>
                <w:sz w:val="24"/>
                <w:szCs w:val="24"/>
              </w:rPr>
            </w:pPr>
            <w:r>
              <w:rPr>
                <w:rFonts w:hint="eastAsia" w:eastAsia="方正书宋_GBK"/>
                <w:sz w:val="24"/>
                <w:szCs w:val="24"/>
              </w:rPr>
              <w:t>17</w:t>
            </w:r>
          </w:p>
        </w:tc>
        <w:tc>
          <w:tcPr>
            <w:tcW w:w="3058" w:type="dxa"/>
            <w:noWrap w:val="0"/>
            <w:tcMar>
              <w:top w:w="0" w:type="dxa"/>
              <w:left w:w="85" w:type="dxa"/>
              <w:bottom w:w="0" w:type="dxa"/>
              <w:right w:w="85" w:type="dxa"/>
            </w:tcMar>
            <w:vAlign w:val="center"/>
          </w:tcPr>
          <w:p w14:paraId="040C2B57">
            <w:pPr>
              <w:rPr>
                <w:rFonts w:hint="eastAsia" w:eastAsia="方正书宋_GBK"/>
                <w:sz w:val="24"/>
                <w:szCs w:val="24"/>
              </w:rPr>
            </w:pPr>
            <w:r>
              <w:rPr>
                <w:rFonts w:hint="eastAsia" w:eastAsia="方正书宋_GBK"/>
                <w:sz w:val="24"/>
                <w:szCs w:val="24"/>
              </w:rPr>
              <w:t>火电</w:t>
            </w:r>
          </w:p>
        </w:tc>
        <w:tc>
          <w:tcPr>
            <w:tcW w:w="1126" w:type="dxa"/>
            <w:noWrap w:val="0"/>
            <w:tcMar>
              <w:top w:w="0" w:type="dxa"/>
              <w:left w:w="85" w:type="dxa"/>
              <w:bottom w:w="0" w:type="dxa"/>
              <w:right w:w="85" w:type="dxa"/>
            </w:tcMar>
            <w:vAlign w:val="center"/>
          </w:tcPr>
          <w:p w14:paraId="1407CC5C">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14:paraId="1D8B057C">
            <w:pPr>
              <w:jc w:val="center"/>
              <w:rPr>
                <w:rFonts w:hint="eastAsia" w:eastAsia="方正书宋_GBK"/>
                <w:sz w:val="24"/>
                <w:szCs w:val="24"/>
              </w:rPr>
            </w:pPr>
            <w:r>
              <w:rPr>
                <w:rFonts w:hint="eastAsia" w:eastAsia="方正书宋_GBK"/>
                <w:sz w:val="24"/>
                <w:szCs w:val="24"/>
              </w:rPr>
              <w:t>450.29</w:t>
            </w:r>
          </w:p>
        </w:tc>
        <w:tc>
          <w:tcPr>
            <w:tcW w:w="1078" w:type="dxa"/>
            <w:noWrap w:val="0"/>
            <w:tcMar>
              <w:top w:w="0" w:type="dxa"/>
              <w:left w:w="85" w:type="dxa"/>
              <w:bottom w:w="0" w:type="dxa"/>
              <w:right w:w="85" w:type="dxa"/>
            </w:tcMar>
            <w:vAlign w:val="center"/>
          </w:tcPr>
          <w:p w14:paraId="6CFEFF40">
            <w:pPr>
              <w:jc w:val="center"/>
              <w:rPr>
                <w:rFonts w:hint="eastAsia" w:eastAsia="方正书宋_GBK"/>
                <w:sz w:val="24"/>
                <w:szCs w:val="24"/>
              </w:rPr>
            </w:pPr>
            <w:r>
              <w:rPr>
                <w:rFonts w:hint="eastAsia" w:eastAsia="方正书宋_GBK"/>
                <w:sz w:val="24"/>
                <w:szCs w:val="24"/>
              </w:rPr>
              <w:t>566</w:t>
            </w:r>
          </w:p>
        </w:tc>
        <w:tc>
          <w:tcPr>
            <w:tcW w:w="1702" w:type="dxa"/>
            <w:noWrap w:val="0"/>
            <w:tcMar>
              <w:top w:w="0" w:type="dxa"/>
              <w:left w:w="85" w:type="dxa"/>
              <w:bottom w:w="0" w:type="dxa"/>
              <w:right w:w="85" w:type="dxa"/>
            </w:tcMar>
            <w:vAlign w:val="center"/>
          </w:tcPr>
          <w:p w14:paraId="63222C3F">
            <w:pPr>
              <w:jc w:val="center"/>
              <w:rPr>
                <w:rFonts w:hint="eastAsia" w:eastAsia="方正书宋_GBK"/>
                <w:sz w:val="24"/>
                <w:szCs w:val="24"/>
              </w:rPr>
            </w:pPr>
            <w:r>
              <w:rPr>
                <w:rFonts w:hint="eastAsia" w:eastAsia="方正书宋_GBK"/>
                <w:sz w:val="24"/>
                <w:szCs w:val="24"/>
              </w:rPr>
              <w:t>4.7</w:t>
            </w:r>
          </w:p>
        </w:tc>
      </w:tr>
      <w:tr w14:paraId="31527A7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2A2152C0">
            <w:pPr>
              <w:jc w:val="center"/>
              <w:rPr>
                <w:rFonts w:hint="eastAsia" w:eastAsia="方正书宋_GBK"/>
                <w:sz w:val="24"/>
                <w:szCs w:val="24"/>
              </w:rPr>
            </w:pPr>
            <w:r>
              <w:rPr>
                <w:rFonts w:hint="eastAsia" w:eastAsia="方正书宋_GBK"/>
                <w:sz w:val="24"/>
                <w:szCs w:val="24"/>
              </w:rPr>
              <w:t>18</w:t>
            </w:r>
          </w:p>
        </w:tc>
        <w:tc>
          <w:tcPr>
            <w:tcW w:w="3058" w:type="dxa"/>
            <w:noWrap w:val="0"/>
            <w:tcMar>
              <w:top w:w="0" w:type="dxa"/>
              <w:left w:w="85" w:type="dxa"/>
              <w:bottom w:w="0" w:type="dxa"/>
              <w:right w:w="85" w:type="dxa"/>
            </w:tcMar>
            <w:vAlign w:val="center"/>
          </w:tcPr>
          <w:p w14:paraId="67BC7A94">
            <w:pPr>
              <w:rPr>
                <w:rFonts w:hint="eastAsia" w:eastAsia="方正书宋_GBK"/>
                <w:sz w:val="24"/>
                <w:szCs w:val="24"/>
              </w:rPr>
            </w:pPr>
            <w:r>
              <w:rPr>
                <w:rFonts w:hint="eastAsia" w:eastAsia="方正书宋_GBK"/>
                <w:sz w:val="24"/>
                <w:szCs w:val="24"/>
              </w:rPr>
              <w:t>单位GDP能耗下降率</w:t>
            </w:r>
          </w:p>
        </w:tc>
        <w:tc>
          <w:tcPr>
            <w:tcW w:w="1126" w:type="dxa"/>
            <w:noWrap w:val="0"/>
            <w:tcMar>
              <w:top w:w="0" w:type="dxa"/>
              <w:left w:w="85" w:type="dxa"/>
              <w:bottom w:w="0" w:type="dxa"/>
              <w:right w:w="85" w:type="dxa"/>
            </w:tcMar>
            <w:vAlign w:val="center"/>
          </w:tcPr>
          <w:p w14:paraId="2DA42878">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41E45DEC">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14:paraId="116CBEE9">
            <w:pPr>
              <w:jc w:val="center"/>
              <w:rPr>
                <w:rFonts w:hint="eastAsia" w:eastAsia="方正书宋_GBK"/>
                <w:sz w:val="24"/>
                <w:szCs w:val="24"/>
              </w:rPr>
            </w:pPr>
            <w:r>
              <w:rPr>
                <w:rFonts w:hint="eastAsia" w:eastAsia="方正书宋_GBK"/>
                <w:sz w:val="24"/>
                <w:szCs w:val="24"/>
              </w:rPr>
              <w:t>—</w:t>
            </w:r>
          </w:p>
        </w:tc>
        <w:tc>
          <w:tcPr>
            <w:tcW w:w="1702" w:type="dxa"/>
            <w:noWrap w:val="0"/>
            <w:tcMar>
              <w:top w:w="0" w:type="dxa"/>
              <w:left w:w="85" w:type="dxa"/>
              <w:bottom w:w="0" w:type="dxa"/>
              <w:right w:w="85" w:type="dxa"/>
            </w:tcMar>
            <w:vAlign w:val="center"/>
          </w:tcPr>
          <w:p w14:paraId="6BB8EB43">
            <w:pPr>
              <w:jc w:val="center"/>
              <w:rPr>
                <w:rFonts w:hint="eastAsia" w:eastAsia="方正书宋_GBK"/>
                <w:sz w:val="24"/>
                <w:szCs w:val="24"/>
              </w:rPr>
            </w:pPr>
            <w:r>
              <w:rPr>
                <w:rFonts w:hint="eastAsia" w:eastAsia="方正书宋_GBK"/>
                <w:sz w:val="24"/>
                <w:szCs w:val="24"/>
              </w:rPr>
              <w:t>[19.4]</w:t>
            </w:r>
          </w:p>
        </w:tc>
      </w:tr>
      <w:tr w14:paraId="09D10F20">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4A749B48">
            <w:pPr>
              <w:jc w:val="center"/>
              <w:rPr>
                <w:rFonts w:hint="eastAsia" w:eastAsia="方正书宋_GBK"/>
                <w:sz w:val="24"/>
                <w:szCs w:val="24"/>
              </w:rPr>
            </w:pPr>
            <w:r>
              <w:rPr>
                <w:rFonts w:hint="eastAsia" w:eastAsia="方正书宋_GBK"/>
                <w:sz w:val="24"/>
                <w:szCs w:val="24"/>
              </w:rPr>
              <w:t>19</w:t>
            </w:r>
          </w:p>
        </w:tc>
        <w:tc>
          <w:tcPr>
            <w:tcW w:w="3058" w:type="dxa"/>
            <w:noWrap w:val="0"/>
            <w:tcMar>
              <w:top w:w="0" w:type="dxa"/>
              <w:left w:w="85" w:type="dxa"/>
              <w:bottom w:w="0" w:type="dxa"/>
              <w:right w:w="85" w:type="dxa"/>
            </w:tcMar>
            <w:vAlign w:val="center"/>
          </w:tcPr>
          <w:p w14:paraId="11AE7B47">
            <w:pPr>
              <w:rPr>
                <w:rFonts w:hint="eastAsia" w:eastAsia="方正书宋_GBK"/>
                <w:sz w:val="24"/>
                <w:szCs w:val="24"/>
              </w:rPr>
            </w:pPr>
            <w:r>
              <w:rPr>
                <w:rFonts w:hint="eastAsia" w:eastAsia="方正书宋_GBK"/>
                <w:sz w:val="24"/>
                <w:szCs w:val="24"/>
              </w:rPr>
              <w:t>煤电供电煤耗</w:t>
            </w:r>
          </w:p>
        </w:tc>
        <w:tc>
          <w:tcPr>
            <w:tcW w:w="1126" w:type="dxa"/>
            <w:noWrap w:val="0"/>
            <w:tcMar>
              <w:top w:w="0" w:type="dxa"/>
              <w:left w:w="85" w:type="dxa"/>
              <w:bottom w:w="0" w:type="dxa"/>
              <w:right w:w="85" w:type="dxa"/>
            </w:tcMar>
            <w:vAlign w:val="center"/>
          </w:tcPr>
          <w:p w14:paraId="1CC79EC7">
            <w:pPr>
              <w:jc w:val="center"/>
              <w:rPr>
                <w:rFonts w:hint="eastAsia" w:eastAsia="方正书宋_GBK"/>
                <w:sz w:val="24"/>
                <w:szCs w:val="24"/>
              </w:rPr>
            </w:pPr>
            <w:r>
              <w:rPr>
                <w:rFonts w:hint="eastAsia" w:eastAsia="方正书宋_GBK"/>
                <w:sz w:val="24"/>
                <w:szCs w:val="24"/>
              </w:rPr>
              <w:t>克/千瓦时</w:t>
            </w:r>
          </w:p>
        </w:tc>
        <w:tc>
          <w:tcPr>
            <w:tcW w:w="1203" w:type="dxa"/>
            <w:noWrap w:val="0"/>
            <w:tcMar>
              <w:top w:w="0" w:type="dxa"/>
              <w:left w:w="85" w:type="dxa"/>
              <w:bottom w:w="0" w:type="dxa"/>
              <w:right w:w="85" w:type="dxa"/>
            </w:tcMar>
            <w:vAlign w:val="center"/>
          </w:tcPr>
          <w:p w14:paraId="3A9BC906">
            <w:pPr>
              <w:jc w:val="center"/>
              <w:rPr>
                <w:rFonts w:hint="eastAsia" w:eastAsia="方正书宋_GBK"/>
                <w:sz w:val="24"/>
                <w:szCs w:val="24"/>
              </w:rPr>
            </w:pPr>
            <w:r>
              <w:rPr>
                <w:rFonts w:hint="eastAsia" w:eastAsia="方正书宋_GBK"/>
                <w:sz w:val="24"/>
                <w:szCs w:val="24"/>
              </w:rPr>
              <w:t>330</w:t>
            </w:r>
          </w:p>
        </w:tc>
        <w:tc>
          <w:tcPr>
            <w:tcW w:w="1078" w:type="dxa"/>
            <w:noWrap w:val="0"/>
            <w:tcMar>
              <w:top w:w="0" w:type="dxa"/>
              <w:left w:w="85" w:type="dxa"/>
              <w:bottom w:w="0" w:type="dxa"/>
              <w:right w:w="85" w:type="dxa"/>
            </w:tcMar>
            <w:vAlign w:val="center"/>
          </w:tcPr>
          <w:p w14:paraId="795A5138">
            <w:pPr>
              <w:jc w:val="center"/>
              <w:rPr>
                <w:rFonts w:hint="eastAsia" w:eastAsia="方正书宋_GBK"/>
                <w:sz w:val="24"/>
                <w:szCs w:val="24"/>
              </w:rPr>
            </w:pPr>
            <w:r>
              <w:rPr>
                <w:rFonts w:hint="eastAsia" w:eastAsia="方正书宋_GBK"/>
                <w:sz w:val="24"/>
                <w:szCs w:val="24"/>
              </w:rPr>
              <w:t>311</w:t>
            </w:r>
          </w:p>
        </w:tc>
        <w:tc>
          <w:tcPr>
            <w:tcW w:w="1702" w:type="dxa"/>
            <w:noWrap w:val="0"/>
            <w:tcMar>
              <w:top w:w="0" w:type="dxa"/>
              <w:left w:w="85" w:type="dxa"/>
              <w:bottom w:w="0" w:type="dxa"/>
              <w:right w:w="85" w:type="dxa"/>
            </w:tcMar>
            <w:vAlign w:val="center"/>
          </w:tcPr>
          <w:p w14:paraId="7F670EE1">
            <w:pPr>
              <w:jc w:val="center"/>
              <w:rPr>
                <w:rFonts w:hint="eastAsia" w:eastAsia="方正书宋_GBK"/>
                <w:sz w:val="24"/>
                <w:szCs w:val="24"/>
              </w:rPr>
            </w:pPr>
            <w:r>
              <w:rPr>
                <w:rFonts w:hint="eastAsia" w:eastAsia="方正书宋_GBK"/>
                <w:sz w:val="24"/>
                <w:szCs w:val="24"/>
              </w:rPr>
              <w:t>-1.2</w:t>
            </w:r>
          </w:p>
        </w:tc>
      </w:tr>
      <w:tr w14:paraId="4F082CC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0F7123DA">
            <w:pPr>
              <w:jc w:val="center"/>
              <w:rPr>
                <w:rFonts w:hint="eastAsia" w:eastAsia="方正书宋_GBK"/>
                <w:sz w:val="24"/>
                <w:szCs w:val="24"/>
              </w:rPr>
            </w:pPr>
            <w:r>
              <w:rPr>
                <w:rFonts w:hint="eastAsia" w:eastAsia="方正书宋_GBK"/>
                <w:sz w:val="24"/>
                <w:szCs w:val="24"/>
              </w:rPr>
              <w:t>20</w:t>
            </w:r>
          </w:p>
        </w:tc>
        <w:tc>
          <w:tcPr>
            <w:tcW w:w="3058" w:type="dxa"/>
            <w:noWrap w:val="0"/>
            <w:tcMar>
              <w:top w:w="0" w:type="dxa"/>
              <w:left w:w="85" w:type="dxa"/>
              <w:bottom w:w="0" w:type="dxa"/>
              <w:right w:w="85" w:type="dxa"/>
            </w:tcMar>
            <w:vAlign w:val="center"/>
          </w:tcPr>
          <w:p w14:paraId="417AD401">
            <w:pPr>
              <w:rPr>
                <w:rFonts w:hint="eastAsia" w:eastAsia="方正书宋_GBK"/>
                <w:sz w:val="24"/>
                <w:szCs w:val="24"/>
              </w:rPr>
            </w:pPr>
            <w:r>
              <w:rPr>
                <w:rFonts w:hint="eastAsia" w:eastAsia="方正书宋_GBK"/>
                <w:sz w:val="24"/>
                <w:szCs w:val="24"/>
              </w:rPr>
              <w:t>电网综合网损率</w:t>
            </w:r>
          </w:p>
        </w:tc>
        <w:tc>
          <w:tcPr>
            <w:tcW w:w="1126" w:type="dxa"/>
            <w:noWrap w:val="0"/>
            <w:tcMar>
              <w:top w:w="0" w:type="dxa"/>
              <w:left w:w="85" w:type="dxa"/>
              <w:bottom w:w="0" w:type="dxa"/>
              <w:right w:w="85" w:type="dxa"/>
            </w:tcMar>
            <w:vAlign w:val="center"/>
          </w:tcPr>
          <w:p w14:paraId="47704458">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537873C6">
            <w:pPr>
              <w:jc w:val="center"/>
              <w:rPr>
                <w:rFonts w:hint="eastAsia" w:eastAsia="方正书宋_GBK"/>
                <w:sz w:val="24"/>
                <w:szCs w:val="24"/>
              </w:rPr>
            </w:pPr>
            <w:r>
              <w:rPr>
                <w:rFonts w:hint="eastAsia" w:eastAsia="方正书宋_GBK"/>
                <w:sz w:val="24"/>
                <w:szCs w:val="24"/>
              </w:rPr>
              <w:t>7.13</w:t>
            </w:r>
          </w:p>
        </w:tc>
        <w:tc>
          <w:tcPr>
            <w:tcW w:w="1078" w:type="dxa"/>
            <w:noWrap w:val="0"/>
            <w:tcMar>
              <w:top w:w="0" w:type="dxa"/>
              <w:left w:w="85" w:type="dxa"/>
              <w:bottom w:w="0" w:type="dxa"/>
              <w:right w:w="85" w:type="dxa"/>
            </w:tcMar>
            <w:vAlign w:val="center"/>
          </w:tcPr>
          <w:p w14:paraId="036D6BD1">
            <w:pPr>
              <w:jc w:val="center"/>
              <w:rPr>
                <w:rFonts w:hint="eastAsia" w:eastAsia="方正书宋_GBK"/>
                <w:sz w:val="24"/>
                <w:szCs w:val="24"/>
              </w:rPr>
            </w:pPr>
            <w:r>
              <w:rPr>
                <w:rFonts w:hint="eastAsia" w:eastAsia="方正书宋_GBK"/>
                <w:sz w:val="24"/>
                <w:szCs w:val="24"/>
              </w:rPr>
              <w:t>5.2</w:t>
            </w:r>
          </w:p>
        </w:tc>
        <w:tc>
          <w:tcPr>
            <w:tcW w:w="1702" w:type="dxa"/>
            <w:noWrap w:val="0"/>
            <w:tcMar>
              <w:top w:w="0" w:type="dxa"/>
              <w:left w:w="85" w:type="dxa"/>
              <w:bottom w:w="0" w:type="dxa"/>
              <w:right w:w="85" w:type="dxa"/>
            </w:tcMar>
            <w:vAlign w:val="center"/>
          </w:tcPr>
          <w:p w14:paraId="35C2D0E7">
            <w:pPr>
              <w:jc w:val="center"/>
              <w:rPr>
                <w:rFonts w:hint="eastAsia" w:eastAsia="方正书宋_GBK"/>
                <w:sz w:val="24"/>
                <w:szCs w:val="24"/>
              </w:rPr>
            </w:pPr>
            <w:r>
              <w:rPr>
                <w:rFonts w:hint="eastAsia" w:eastAsia="方正书宋_GBK"/>
                <w:sz w:val="24"/>
                <w:szCs w:val="24"/>
              </w:rPr>
              <w:t>[-1.93]</w:t>
            </w:r>
          </w:p>
        </w:tc>
      </w:tr>
      <w:tr w14:paraId="0AE9518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75A892A7">
            <w:pPr>
              <w:jc w:val="center"/>
              <w:rPr>
                <w:rFonts w:hint="eastAsia" w:eastAsia="方正书宋_GBK"/>
                <w:sz w:val="24"/>
                <w:szCs w:val="24"/>
              </w:rPr>
            </w:pPr>
            <w:r>
              <w:rPr>
                <w:rFonts w:hint="eastAsia" w:eastAsia="方正书宋_GBK"/>
                <w:sz w:val="24"/>
                <w:szCs w:val="24"/>
              </w:rPr>
              <w:t>21</w:t>
            </w:r>
          </w:p>
        </w:tc>
        <w:tc>
          <w:tcPr>
            <w:tcW w:w="3058" w:type="dxa"/>
            <w:noWrap w:val="0"/>
            <w:tcMar>
              <w:top w:w="0" w:type="dxa"/>
              <w:left w:w="85" w:type="dxa"/>
              <w:bottom w:w="0" w:type="dxa"/>
              <w:right w:w="85" w:type="dxa"/>
            </w:tcMar>
            <w:vAlign w:val="center"/>
          </w:tcPr>
          <w:p w14:paraId="300D9272">
            <w:pPr>
              <w:rPr>
                <w:rFonts w:hint="eastAsia" w:eastAsia="方正书宋_GBK"/>
                <w:sz w:val="24"/>
                <w:szCs w:val="24"/>
              </w:rPr>
            </w:pPr>
            <w:r>
              <w:rPr>
                <w:rFonts w:hint="eastAsia" w:eastAsia="方正书宋_GBK"/>
                <w:sz w:val="24"/>
                <w:szCs w:val="24"/>
              </w:rPr>
              <w:t>单位GDP二氧化碳排放下降率</w:t>
            </w:r>
          </w:p>
        </w:tc>
        <w:tc>
          <w:tcPr>
            <w:tcW w:w="1126" w:type="dxa"/>
            <w:noWrap w:val="0"/>
            <w:tcMar>
              <w:top w:w="0" w:type="dxa"/>
              <w:left w:w="85" w:type="dxa"/>
              <w:bottom w:w="0" w:type="dxa"/>
              <w:right w:w="85" w:type="dxa"/>
            </w:tcMar>
            <w:vAlign w:val="center"/>
          </w:tcPr>
          <w:p w14:paraId="1B9C0594">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19F02954">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14:paraId="193CE70C">
            <w:pPr>
              <w:jc w:val="center"/>
              <w:rPr>
                <w:rFonts w:hint="eastAsia" w:eastAsia="方正书宋_GBK"/>
                <w:sz w:val="24"/>
                <w:szCs w:val="24"/>
              </w:rPr>
            </w:pPr>
            <w:r>
              <w:rPr>
                <w:rFonts w:hint="eastAsia" w:eastAsia="方正书宋_GBK"/>
                <w:sz w:val="24"/>
                <w:szCs w:val="24"/>
              </w:rPr>
              <w:t>—</w:t>
            </w:r>
          </w:p>
        </w:tc>
        <w:tc>
          <w:tcPr>
            <w:tcW w:w="1702" w:type="dxa"/>
            <w:noWrap w:val="0"/>
            <w:tcMar>
              <w:top w:w="0" w:type="dxa"/>
              <w:left w:w="85" w:type="dxa"/>
              <w:bottom w:w="0" w:type="dxa"/>
              <w:right w:w="85" w:type="dxa"/>
            </w:tcMar>
            <w:vAlign w:val="center"/>
          </w:tcPr>
          <w:p w14:paraId="12A959E5">
            <w:pPr>
              <w:jc w:val="center"/>
              <w:rPr>
                <w:rFonts w:hint="eastAsia" w:eastAsia="方正书宋_GBK"/>
                <w:sz w:val="24"/>
                <w:szCs w:val="24"/>
              </w:rPr>
            </w:pPr>
            <w:r>
              <w:rPr>
                <w:rFonts w:hint="eastAsia" w:eastAsia="方正书宋_GBK"/>
                <w:sz w:val="24"/>
                <w:szCs w:val="24"/>
              </w:rPr>
              <w:t>[23]</w:t>
            </w:r>
          </w:p>
        </w:tc>
      </w:tr>
      <w:tr w14:paraId="3F7AA14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24468F50">
            <w:pPr>
              <w:jc w:val="center"/>
              <w:rPr>
                <w:rFonts w:hint="eastAsia" w:eastAsia="方正书宋_GBK"/>
                <w:sz w:val="24"/>
                <w:szCs w:val="24"/>
              </w:rPr>
            </w:pPr>
            <w:r>
              <w:rPr>
                <w:rFonts w:hint="eastAsia" w:eastAsia="方正书宋_GBK"/>
                <w:sz w:val="24"/>
                <w:szCs w:val="24"/>
              </w:rPr>
              <w:t>22</w:t>
            </w:r>
          </w:p>
        </w:tc>
        <w:tc>
          <w:tcPr>
            <w:tcW w:w="3058" w:type="dxa"/>
            <w:noWrap w:val="0"/>
            <w:tcMar>
              <w:top w:w="0" w:type="dxa"/>
              <w:left w:w="85" w:type="dxa"/>
              <w:bottom w:w="0" w:type="dxa"/>
              <w:right w:w="85" w:type="dxa"/>
            </w:tcMar>
            <w:vAlign w:val="center"/>
          </w:tcPr>
          <w:p w14:paraId="34244A70">
            <w:pPr>
              <w:rPr>
                <w:rFonts w:hint="eastAsia" w:eastAsia="方正书宋_GBK"/>
                <w:sz w:val="24"/>
                <w:szCs w:val="24"/>
              </w:rPr>
            </w:pPr>
            <w:r>
              <w:rPr>
                <w:rFonts w:hint="eastAsia" w:eastAsia="方正书宋_GBK"/>
                <w:sz w:val="24"/>
                <w:szCs w:val="24"/>
              </w:rPr>
              <w:t>居民人均生活用电量</w:t>
            </w:r>
          </w:p>
        </w:tc>
        <w:tc>
          <w:tcPr>
            <w:tcW w:w="1126" w:type="dxa"/>
            <w:noWrap w:val="0"/>
            <w:tcMar>
              <w:top w:w="0" w:type="dxa"/>
              <w:left w:w="85" w:type="dxa"/>
              <w:bottom w:w="0" w:type="dxa"/>
              <w:right w:w="85" w:type="dxa"/>
            </w:tcMar>
            <w:vAlign w:val="center"/>
          </w:tcPr>
          <w:p w14:paraId="3BC8A39F">
            <w:pPr>
              <w:jc w:val="center"/>
              <w:rPr>
                <w:rFonts w:hint="eastAsia" w:eastAsia="方正书宋_GBK"/>
                <w:sz w:val="24"/>
                <w:szCs w:val="24"/>
              </w:rPr>
            </w:pPr>
            <w:r>
              <w:rPr>
                <w:rFonts w:hint="eastAsia" w:eastAsia="方正书宋_GBK"/>
                <w:sz w:val="24"/>
                <w:szCs w:val="24"/>
              </w:rPr>
              <w:t>千瓦时</w:t>
            </w:r>
          </w:p>
        </w:tc>
        <w:tc>
          <w:tcPr>
            <w:tcW w:w="1203" w:type="dxa"/>
            <w:noWrap w:val="0"/>
            <w:tcMar>
              <w:top w:w="0" w:type="dxa"/>
              <w:left w:w="85" w:type="dxa"/>
              <w:bottom w:w="0" w:type="dxa"/>
              <w:right w:w="85" w:type="dxa"/>
            </w:tcMar>
            <w:vAlign w:val="center"/>
          </w:tcPr>
          <w:p w14:paraId="63EAFD95">
            <w:pPr>
              <w:jc w:val="center"/>
              <w:rPr>
                <w:rFonts w:hint="eastAsia" w:eastAsia="方正书宋_GBK"/>
                <w:sz w:val="24"/>
                <w:szCs w:val="24"/>
              </w:rPr>
            </w:pPr>
            <w:r>
              <w:rPr>
                <w:rFonts w:hint="eastAsia" w:eastAsia="方正书宋_GBK"/>
                <w:sz w:val="24"/>
                <w:szCs w:val="24"/>
              </w:rPr>
              <w:t>455.02</w:t>
            </w:r>
          </w:p>
        </w:tc>
        <w:tc>
          <w:tcPr>
            <w:tcW w:w="1078" w:type="dxa"/>
            <w:noWrap w:val="0"/>
            <w:tcMar>
              <w:top w:w="0" w:type="dxa"/>
              <w:left w:w="85" w:type="dxa"/>
              <w:bottom w:w="0" w:type="dxa"/>
              <w:right w:w="85" w:type="dxa"/>
            </w:tcMar>
            <w:vAlign w:val="center"/>
          </w:tcPr>
          <w:p w14:paraId="05EE6938">
            <w:pPr>
              <w:jc w:val="center"/>
              <w:rPr>
                <w:rFonts w:hint="eastAsia" w:eastAsia="方正书宋_GBK"/>
                <w:sz w:val="24"/>
                <w:szCs w:val="24"/>
              </w:rPr>
            </w:pPr>
            <w:r>
              <w:rPr>
                <w:rFonts w:hint="eastAsia" w:eastAsia="方正书宋_GBK"/>
                <w:sz w:val="24"/>
                <w:szCs w:val="24"/>
              </w:rPr>
              <w:t>689</w:t>
            </w:r>
          </w:p>
        </w:tc>
        <w:tc>
          <w:tcPr>
            <w:tcW w:w="1702" w:type="dxa"/>
            <w:noWrap w:val="0"/>
            <w:tcMar>
              <w:top w:w="0" w:type="dxa"/>
              <w:left w:w="85" w:type="dxa"/>
              <w:bottom w:w="0" w:type="dxa"/>
              <w:right w:w="85" w:type="dxa"/>
            </w:tcMar>
            <w:vAlign w:val="center"/>
          </w:tcPr>
          <w:p w14:paraId="3CAA92D2">
            <w:pPr>
              <w:jc w:val="center"/>
              <w:rPr>
                <w:rFonts w:hint="eastAsia" w:eastAsia="方正书宋_GBK"/>
                <w:sz w:val="24"/>
                <w:szCs w:val="24"/>
              </w:rPr>
            </w:pPr>
            <w:r>
              <w:rPr>
                <w:rFonts w:hint="eastAsia" w:eastAsia="方正书宋_GBK"/>
                <w:sz w:val="24"/>
                <w:szCs w:val="24"/>
              </w:rPr>
              <w:t>9.0</w:t>
            </w:r>
          </w:p>
        </w:tc>
      </w:tr>
      <w:tr w14:paraId="1160C8B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3610EE09">
            <w:pPr>
              <w:jc w:val="center"/>
              <w:rPr>
                <w:rFonts w:hint="eastAsia" w:eastAsia="方正书宋_GBK"/>
                <w:sz w:val="24"/>
                <w:szCs w:val="24"/>
              </w:rPr>
            </w:pPr>
            <w:r>
              <w:rPr>
                <w:rFonts w:hint="eastAsia" w:eastAsia="方正书宋_GBK"/>
                <w:sz w:val="24"/>
                <w:szCs w:val="24"/>
              </w:rPr>
              <w:t>23</w:t>
            </w:r>
          </w:p>
        </w:tc>
        <w:tc>
          <w:tcPr>
            <w:tcW w:w="3058" w:type="dxa"/>
            <w:noWrap w:val="0"/>
            <w:tcMar>
              <w:top w:w="0" w:type="dxa"/>
              <w:left w:w="85" w:type="dxa"/>
              <w:bottom w:w="0" w:type="dxa"/>
              <w:right w:w="85" w:type="dxa"/>
            </w:tcMar>
            <w:vAlign w:val="center"/>
          </w:tcPr>
          <w:p w14:paraId="4E85CFD6">
            <w:pPr>
              <w:rPr>
                <w:rFonts w:hint="eastAsia" w:eastAsia="方正书宋_GBK"/>
                <w:sz w:val="24"/>
                <w:szCs w:val="24"/>
              </w:rPr>
            </w:pPr>
            <w:r>
              <w:rPr>
                <w:rFonts w:hint="eastAsia" w:eastAsia="方正书宋_GBK"/>
                <w:sz w:val="24"/>
                <w:szCs w:val="24"/>
              </w:rPr>
              <w:t>城镇居民天然气普及率</w:t>
            </w:r>
          </w:p>
        </w:tc>
        <w:tc>
          <w:tcPr>
            <w:tcW w:w="1126" w:type="dxa"/>
            <w:noWrap w:val="0"/>
            <w:tcMar>
              <w:top w:w="0" w:type="dxa"/>
              <w:left w:w="85" w:type="dxa"/>
              <w:bottom w:w="0" w:type="dxa"/>
              <w:right w:w="85" w:type="dxa"/>
            </w:tcMar>
            <w:vAlign w:val="center"/>
          </w:tcPr>
          <w:p w14:paraId="5135C6C7">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04489EF4">
            <w:pPr>
              <w:jc w:val="center"/>
              <w:rPr>
                <w:rFonts w:hint="eastAsia" w:eastAsia="方正书宋_GBK"/>
                <w:sz w:val="24"/>
                <w:szCs w:val="24"/>
              </w:rPr>
            </w:pPr>
            <w:r>
              <w:rPr>
                <w:rFonts w:hint="eastAsia" w:eastAsia="方正书宋_GBK"/>
                <w:sz w:val="24"/>
                <w:szCs w:val="24"/>
              </w:rPr>
              <w:t>97.4</w:t>
            </w:r>
          </w:p>
        </w:tc>
        <w:tc>
          <w:tcPr>
            <w:tcW w:w="1078" w:type="dxa"/>
            <w:noWrap w:val="0"/>
            <w:tcMar>
              <w:top w:w="0" w:type="dxa"/>
              <w:left w:w="85" w:type="dxa"/>
              <w:bottom w:w="0" w:type="dxa"/>
              <w:right w:w="85" w:type="dxa"/>
            </w:tcMar>
            <w:vAlign w:val="center"/>
          </w:tcPr>
          <w:p w14:paraId="33F7F2C5">
            <w:pPr>
              <w:jc w:val="center"/>
              <w:rPr>
                <w:rFonts w:hint="eastAsia" w:eastAsia="方正书宋_GBK"/>
                <w:sz w:val="24"/>
                <w:szCs w:val="24"/>
              </w:rPr>
            </w:pPr>
            <w:r>
              <w:rPr>
                <w:rFonts w:hint="eastAsia" w:eastAsia="方正书宋_GBK"/>
                <w:sz w:val="24"/>
                <w:szCs w:val="24"/>
              </w:rPr>
              <w:t>98.5</w:t>
            </w:r>
          </w:p>
        </w:tc>
        <w:tc>
          <w:tcPr>
            <w:tcW w:w="1702" w:type="dxa"/>
            <w:noWrap w:val="0"/>
            <w:tcMar>
              <w:top w:w="0" w:type="dxa"/>
              <w:left w:w="85" w:type="dxa"/>
              <w:bottom w:w="0" w:type="dxa"/>
              <w:right w:w="85" w:type="dxa"/>
            </w:tcMar>
            <w:vAlign w:val="center"/>
          </w:tcPr>
          <w:p w14:paraId="2321056A">
            <w:pPr>
              <w:jc w:val="center"/>
              <w:rPr>
                <w:rFonts w:hint="eastAsia" w:eastAsia="方正书宋_GBK"/>
                <w:sz w:val="24"/>
                <w:szCs w:val="24"/>
              </w:rPr>
            </w:pPr>
            <w:r>
              <w:rPr>
                <w:rFonts w:hint="eastAsia" w:eastAsia="方正书宋_GBK"/>
                <w:sz w:val="24"/>
                <w:szCs w:val="24"/>
              </w:rPr>
              <w:t>[1.1]</w:t>
            </w:r>
          </w:p>
        </w:tc>
      </w:tr>
      <w:tr w14:paraId="6FA8D4F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14:paraId="23C393BB">
            <w:pPr>
              <w:jc w:val="center"/>
              <w:rPr>
                <w:rFonts w:hint="eastAsia" w:eastAsia="方正书宋_GBK"/>
                <w:sz w:val="24"/>
                <w:szCs w:val="24"/>
              </w:rPr>
            </w:pPr>
            <w:r>
              <w:rPr>
                <w:rFonts w:hint="eastAsia" w:eastAsia="方正书宋_GBK"/>
                <w:sz w:val="24"/>
                <w:szCs w:val="24"/>
              </w:rPr>
              <w:t>24</w:t>
            </w:r>
          </w:p>
        </w:tc>
        <w:tc>
          <w:tcPr>
            <w:tcW w:w="3058" w:type="dxa"/>
            <w:noWrap w:val="0"/>
            <w:tcMar>
              <w:top w:w="0" w:type="dxa"/>
              <w:left w:w="85" w:type="dxa"/>
              <w:bottom w:w="0" w:type="dxa"/>
              <w:right w:w="85" w:type="dxa"/>
            </w:tcMar>
            <w:vAlign w:val="center"/>
          </w:tcPr>
          <w:p w14:paraId="093200DF">
            <w:pPr>
              <w:rPr>
                <w:rFonts w:hint="eastAsia" w:eastAsia="方正书宋_GBK"/>
                <w:sz w:val="24"/>
                <w:szCs w:val="24"/>
              </w:rPr>
            </w:pPr>
            <w:r>
              <w:rPr>
                <w:rFonts w:hint="eastAsia" w:eastAsia="方正书宋_GBK"/>
                <w:sz w:val="24"/>
                <w:szCs w:val="24"/>
              </w:rPr>
              <w:t>配电网供电可靠率</w:t>
            </w:r>
          </w:p>
        </w:tc>
        <w:tc>
          <w:tcPr>
            <w:tcW w:w="1126" w:type="dxa"/>
            <w:noWrap w:val="0"/>
            <w:tcMar>
              <w:top w:w="0" w:type="dxa"/>
              <w:left w:w="85" w:type="dxa"/>
              <w:bottom w:w="0" w:type="dxa"/>
              <w:right w:w="85" w:type="dxa"/>
            </w:tcMar>
            <w:vAlign w:val="center"/>
          </w:tcPr>
          <w:p w14:paraId="1C15C543">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14:paraId="14EAA70D">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14:paraId="33B4F31C">
            <w:pPr>
              <w:jc w:val="center"/>
              <w:rPr>
                <w:rFonts w:hint="eastAsia" w:eastAsia="方正书宋_GBK"/>
                <w:sz w:val="24"/>
                <w:szCs w:val="24"/>
              </w:rPr>
            </w:pPr>
            <w:r>
              <w:rPr>
                <w:rFonts w:hint="eastAsia" w:eastAsia="方正书宋_GBK"/>
                <w:sz w:val="24"/>
                <w:szCs w:val="24"/>
              </w:rPr>
              <w:t>99.868</w:t>
            </w:r>
          </w:p>
        </w:tc>
        <w:tc>
          <w:tcPr>
            <w:tcW w:w="1702" w:type="dxa"/>
            <w:noWrap w:val="0"/>
            <w:tcMar>
              <w:top w:w="0" w:type="dxa"/>
              <w:left w:w="85" w:type="dxa"/>
              <w:bottom w:w="0" w:type="dxa"/>
              <w:right w:w="85" w:type="dxa"/>
            </w:tcMar>
            <w:vAlign w:val="center"/>
          </w:tcPr>
          <w:p w14:paraId="41313F0F">
            <w:pPr>
              <w:jc w:val="center"/>
              <w:rPr>
                <w:rFonts w:hint="eastAsia" w:eastAsia="方正书宋_GBK"/>
                <w:sz w:val="24"/>
                <w:szCs w:val="24"/>
              </w:rPr>
            </w:pPr>
          </w:p>
        </w:tc>
      </w:tr>
    </w:tbl>
    <w:p w14:paraId="5FDD3B16">
      <w:pPr>
        <w:spacing w:line="420" w:lineRule="exact"/>
        <w:rPr>
          <w:rFonts w:hint="eastAsia" w:eastAsia="方正书宋_GBK"/>
          <w:sz w:val="24"/>
          <w:szCs w:val="24"/>
        </w:rPr>
      </w:pPr>
      <w:r>
        <w:rPr>
          <w:rFonts w:hint="eastAsia" w:eastAsia="方正黑体_GBK"/>
          <w:sz w:val="24"/>
          <w:szCs w:val="24"/>
        </w:rPr>
        <w:t>注：</w:t>
      </w:r>
      <w:r>
        <w:rPr>
          <w:rFonts w:hint="eastAsia" w:eastAsia="方正书宋_GBK"/>
          <w:sz w:val="24"/>
          <w:szCs w:val="24"/>
        </w:rPr>
        <w:t>1．现状数据以统计公布数据为准。</w:t>
      </w:r>
    </w:p>
    <w:p w14:paraId="1703283C">
      <w:pPr>
        <w:spacing w:line="420" w:lineRule="exact"/>
        <w:ind w:firstLine="472" w:firstLineChars="200"/>
        <w:rPr>
          <w:rFonts w:hint="eastAsia" w:eastAsia="方正书宋_GBK"/>
          <w:sz w:val="24"/>
          <w:szCs w:val="24"/>
        </w:rPr>
      </w:pPr>
      <w:r>
        <w:rPr>
          <w:rFonts w:hint="eastAsia" w:eastAsia="方正书宋_GBK"/>
          <w:sz w:val="24"/>
          <w:szCs w:val="24"/>
        </w:rPr>
        <w:t>2．[ ]内为五年累计数。</w:t>
      </w:r>
    </w:p>
    <w:p w14:paraId="60E5618D">
      <w:pPr>
        <w:spacing w:line="420" w:lineRule="exact"/>
        <w:ind w:firstLine="472" w:firstLineChars="200"/>
        <w:rPr>
          <w:rFonts w:hint="eastAsia" w:eastAsia="方正书宋_GBK"/>
          <w:sz w:val="24"/>
          <w:szCs w:val="24"/>
        </w:rPr>
      </w:pPr>
      <w:r>
        <w:rPr>
          <w:rFonts w:hint="eastAsia" w:eastAsia="方正书宋_GBK"/>
          <w:sz w:val="24"/>
          <w:szCs w:val="24"/>
        </w:rPr>
        <w:t>3．能源消费分类中未单列外来火电及其他能源消费情况。</w:t>
      </w:r>
    </w:p>
    <w:p w14:paraId="7A401671">
      <w:pPr>
        <w:adjustRightInd/>
        <w:spacing w:line="240" w:lineRule="auto"/>
        <w:ind w:firstLine="632" w:firstLineChars="200"/>
        <w:textAlignment w:val="auto"/>
        <w:rPr>
          <w:rFonts w:hint="eastAsia"/>
        </w:rPr>
      </w:pPr>
      <w:r>
        <w:rPr>
          <w:rFonts w:hint="eastAsia"/>
        </w:rPr>
        <w:t>“十四五”时期，我国将迈入新阶段、开启新征程，重庆市将立足新发展阶段，完整、准确、全面贯彻新发展理念，积极融入和服务新发展格局，谱写高质量发展的新篇章，对能源保障能力和水平提出更高要求。同时，“十四五”时期也是推进我国碳达峰碳中和的第一个五年，能源低碳转型进入碳达峰关键期，全市能源结构调整面临更大挑战。</w:t>
      </w:r>
    </w:p>
    <w:p w14:paraId="4BCA2CF6">
      <w:pPr>
        <w:adjustRightInd/>
        <w:spacing w:line="240" w:lineRule="auto"/>
        <w:ind w:firstLine="632" w:firstLineChars="200"/>
        <w:textAlignment w:val="auto"/>
        <w:rPr>
          <w:rFonts w:hint="eastAsia"/>
        </w:rPr>
      </w:pPr>
      <w:r>
        <w:rPr>
          <w:rFonts w:hint="eastAsia"/>
        </w:rPr>
        <w:t>未来五年，新一轮科技革命和产业变革将推动能源产业全面升级，在催生新产业新模式新业态，为能源发展提供新机遇的同时，能源供给与发展需求的矛盾也将日益凸显：全市能源对外依存度不断攀升，省际受电、运煤通道不足，将增大能源保供压力；常规水电资源开发殆尽、风光资源有限，将制约能源结构调整步伐；能源储备、调峰能力不足，将加大对外资源协调与市内生产组织平衡难度。</w:t>
      </w:r>
    </w:p>
    <w:p w14:paraId="47B783E2">
      <w:pPr>
        <w:adjustRightInd/>
        <w:spacing w:line="240" w:lineRule="auto"/>
        <w:ind w:firstLine="632" w:firstLineChars="200"/>
        <w:textAlignment w:val="auto"/>
        <w:rPr>
          <w:rFonts w:hint="eastAsia" w:eastAsia="方正黑体_GBK"/>
        </w:rPr>
      </w:pPr>
      <w:r>
        <w:rPr>
          <w:rFonts w:hint="eastAsia" w:eastAsia="方正黑体_GBK"/>
        </w:rPr>
        <w:t>二、总体要求和主要目标</w:t>
      </w:r>
    </w:p>
    <w:p w14:paraId="2DA92610">
      <w:pPr>
        <w:adjustRightInd/>
        <w:spacing w:line="240" w:lineRule="auto"/>
        <w:ind w:firstLine="632" w:firstLineChars="200"/>
        <w:textAlignment w:val="auto"/>
        <w:rPr>
          <w:rFonts w:hint="eastAsia" w:eastAsia="方正楷体_GBK"/>
        </w:rPr>
      </w:pPr>
      <w:r>
        <w:rPr>
          <w:rFonts w:hint="eastAsia" w:eastAsia="方正楷体_GBK"/>
        </w:rPr>
        <w:t>（一）指导思想。</w:t>
      </w:r>
    </w:p>
    <w:p w14:paraId="711DAC20">
      <w:pPr>
        <w:adjustRightInd/>
        <w:spacing w:line="240" w:lineRule="auto"/>
        <w:ind w:firstLine="632" w:firstLineChars="200"/>
        <w:textAlignment w:val="auto"/>
        <w:rPr>
          <w:rFonts w:hint="eastAsia"/>
        </w:rPr>
      </w:pPr>
      <w:r>
        <w:rPr>
          <w:rFonts w:hint="eastAsia"/>
        </w:rPr>
        <w:t>以习近平新时代中国特色社会主义思想为指导，深入贯彻党的十九大和十九届历次全会精神，全面落实习近平总书记对重庆提出的营造良好政治生态，坚持“两点”定位、“两地”“两高”目标，发挥“三个作用”和推动成渝地区双城经济圈建设等重要指示要求，紧扣碳达峰碳中和目标，以推动高质量发展为主题，以改革创新为根本动力，以满足经济社会发展和人民日益增长的美好生活需要为根本目的，提升能源安全保障能力、加快绿色转型发展并重，着力提高能源产业链现代化水平，加快构建清洁低碳、安全高效的现代能源体系，为开启全面建设社会主义现代化新征程提供坚实的能源保障。</w:t>
      </w:r>
    </w:p>
    <w:p w14:paraId="0F69541B">
      <w:pPr>
        <w:adjustRightInd/>
        <w:spacing w:line="240" w:lineRule="auto"/>
        <w:ind w:firstLine="632" w:firstLineChars="200"/>
        <w:textAlignment w:val="auto"/>
        <w:rPr>
          <w:rFonts w:hint="eastAsia" w:eastAsia="方正楷体_GBK"/>
        </w:rPr>
      </w:pPr>
      <w:r>
        <w:rPr>
          <w:rFonts w:hint="eastAsia" w:eastAsia="方正楷体_GBK"/>
        </w:rPr>
        <w:t>（二）基本原则。</w:t>
      </w:r>
    </w:p>
    <w:p w14:paraId="7A02C8DF">
      <w:pPr>
        <w:adjustRightInd/>
        <w:spacing w:line="240" w:lineRule="auto"/>
        <w:ind w:firstLine="632" w:firstLineChars="200"/>
        <w:textAlignment w:val="auto"/>
        <w:rPr>
          <w:rFonts w:hint="eastAsia"/>
        </w:rPr>
      </w:pPr>
      <w:r>
        <w:rPr>
          <w:rFonts w:hint="eastAsia"/>
        </w:rPr>
        <w:t>坚持生态优先，绿色低碳。围绕碳达峰碳中和目标，推动能源清洁高效开发、能源生产低碳转型发展，推动能源利用和消费方式根本性转变。</w:t>
      </w:r>
    </w:p>
    <w:p w14:paraId="464EA22B">
      <w:pPr>
        <w:adjustRightInd/>
        <w:spacing w:line="240" w:lineRule="auto"/>
        <w:ind w:firstLine="632" w:firstLineChars="200"/>
        <w:textAlignment w:val="auto"/>
        <w:rPr>
          <w:rFonts w:hint="eastAsia"/>
        </w:rPr>
      </w:pPr>
      <w:r>
        <w:rPr>
          <w:rFonts w:hint="eastAsia"/>
        </w:rPr>
        <w:t>坚持系统优化，安全高效。把握能源的整体性、系统性特点，统筹处理好局部和全局、当前和长远、主要与次要的关系，统筹产供储销各环节，增强系统运行和资源配置效率。</w:t>
      </w:r>
    </w:p>
    <w:p w14:paraId="63C0153F">
      <w:pPr>
        <w:adjustRightInd/>
        <w:spacing w:line="240" w:lineRule="auto"/>
        <w:ind w:firstLine="632" w:firstLineChars="200"/>
        <w:textAlignment w:val="auto"/>
        <w:rPr>
          <w:rFonts w:hint="eastAsia"/>
        </w:rPr>
      </w:pPr>
      <w:r>
        <w:rPr>
          <w:rFonts w:hint="eastAsia"/>
        </w:rPr>
        <w:t>坚持创新驱动，智慧融合。把创新作为推动能源发展的第一动力，着力提升能源科技创新能力，加快能源产业数字化和智能化升级，加快能源领域关键核心技术攻关和成熟先进技术的产业化推广应用，提升能源产业链现代化水平。</w:t>
      </w:r>
    </w:p>
    <w:p w14:paraId="255ED7E8">
      <w:pPr>
        <w:adjustRightInd/>
        <w:spacing w:line="240" w:lineRule="auto"/>
        <w:ind w:firstLine="632" w:firstLineChars="200"/>
        <w:textAlignment w:val="auto"/>
        <w:rPr>
          <w:rFonts w:hint="eastAsia"/>
        </w:rPr>
      </w:pPr>
      <w:r>
        <w:rPr>
          <w:rFonts w:hint="eastAsia"/>
        </w:rPr>
        <w:t>坚持深化改革，扩大开放。加快重点领域和关键环节改革步伐，充分发挥市场在资源配置中的决定性作用，更好发挥政府作用，破除制约能源高质量发展的体制机制障碍，实施更大范围、更宽领域、更深层次的对外开放和区域合作。</w:t>
      </w:r>
    </w:p>
    <w:p w14:paraId="3B84FB94">
      <w:pPr>
        <w:adjustRightInd/>
        <w:spacing w:line="240" w:lineRule="auto"/>
        <w:ind w:firstLine="632" w:firstLineChars="200"/>
        <w:textAlignment w:val="auto"/>
        <w:rPr>
          <w:rFonts w:hint="eastAsia"/>
        </w:rPr>
      </w:pPr>
      <w:r>
        <w:rPr>
          <w:rFonts w:hint="eastAsia"/>
        </w:rPr>
        <w:t>坚持服务民生，共享发展。坚持以人民为中心，有效提升能源普遍服务水平。强化能源民生保障，推动能源发展成果更多更</w:t>
      </w:r>
      <w:r>
        <w:rPr>
          <w:rFonts w:hint="eastAsia"/>
          <w:spacing w:val="-4"/>
        </w:rPr>
        <w:t>好满足人民日益增长的美好生活需要，助力城市建设和乡村振兴，</w:t>
      </w:r>
      <w:r>
        <w:rPr>
          <w:rFonts w:hint="eastAsia"/>
        </w:rPr>
        <w:t>提升发展共享水平。</w:t>
      </w:r>
    </w:p>
    <w:p w14:paraId="4F36F7AE">
      <w:pPr>
        <w:adjustRightInd/>
        <w:spacing w:line="240" w:lineRule="auto"/>
        <w:ind w:firstLine="632" w:firstLineChars="200"/>
        <w:textAlignment w:val="auto"/>
        <w:rPr>
          <w:rFonts w:hint="eastAsia" w:eastAsia="方正楷体_GBK"/>
        </w:rPr>
      </w:pPr>
      <w:r>
        <w:rPr>
          <w:rFonts w:hint="eastAsia" w:eastAsia="方正楷体_GBK"/>
        </w:rPr>
        <w:t>（三）发展目标。</w:t>
      </w:r>
    </w:p>
    <w:p w14:paraId="1F7E3541">
      <w:pPr>
        <w:adjustRightInd/>
        <w:spacing w:line="240" w:lineRule="auto"/>
        <w:ind w:firstLine="632" w:firstLineChars="200"/>
        <w:textAlignment w:val="auto"/>
        <w:rPr>
          <w:rFonts w:hint="eastAsia"/>
        </w:rPr>
      </w:pPr>
      <w:r>
        <w:rPr>
          <w:rFonts w:hint="eastAsia"/>
        </w:rPr>
        <w:t>能源</w:t>
      </w:r>
      <w:r>
        <w:rPr>
          <w:rFonts w:hint="eastAsia"/>
          <w:spacing w:val="-4"/>
        </w:rPr>
        <w:t>保障安全有力。到2025年，煤炭供应保障能力达到5000</w:t>
      </w:r>
      <w:r>
        <w:rPr>
          <w:rFonts w:hint="eastAsia"/>
        </w:rPr>
        <w:t>万吨；电力装机容量达到3650万千瓦，全社会用电量达到1620亿千瓦时；常规天然气、页岩气产量分别达到50亿立方米、135亿立方米；成品油供应能力达到1050万吨；能源储备体系进一步完善，应急保供能力进一步增强。</w:t>
      </w:r>
    </w:p>
    <w:p w14:paraId="09FEAF5F">
      <w:pPr>
        <w:adjustRightInd/>
        <w:spacing w:line="240" w:lineRule="auto"/>
        <w:ind w:firstLine="632" w:firstLineChars="200"/>
        <w:textAlignment w:val="auto"/>
        <w:rPr>
          <w:rFonts w:hint="eastAsia"/>
        </w:rPr>
      </w:pPr>
      <w:r>
        <w:rPr>
          <w:rFonts w:hint="eastAsia"/>
        </w:rPr>
        <w:t>能源绿色转型成效显著。到2025年，可再生能源电力消纳总量责任权重达到国家下达计划指标，非化石能源消费比重提高到25%；煤炭消费比重降低至40%，石油消费比重保持在15%，天然气消费比重达到20%。</w:t>
      </w:r>
    </w:p>
    <w:p w14:paraId="65FC2C42">
      <w:pPr>
        <w:adjustRightInd/>
        <w:spacing w:line="240" w:lineRule="auto"/>
        <w:ind w:firstLine="632" w:firstLineChars="200"/>
        <w:textAlignment w:val="auto"/>
        <w:rPr>
          <w:rFonts w:hint="eastAsia"/>
        </w:rPr>
      </w:pPr>
      <w:r>
        <w:rPr>
          <w:rFonts w:hint="eastAsia"/>
        </w:rPr>
        <w:t>能源利用效率大幅提高。单位GDP能耗下降指标达到国家要求；火电平均供电煤耗控制在300克标煤/千瓦时以下，电网综合线损率控制在4.8%以下；建成多元融合高弹性电网，配电网供电可靠率在99.893%以上。</w:t>
      </w:r>
    </w:p>
    <w:p w14:paraId="75FA11CB">
      <w:pPr>
        <w:adjustRightInd/>
        <w:spacing w:line="240" w:lineRule="auto"/>
        <w:ind w:firstLine="632" w:firstLineChars="200"/>
        <w:textAlignment w:val="auto"/>
        <w:rPr>
          <w:rFonts w:hint="eastAsia"/>
        </w:rPr>
      </w:pPr>
      <w:r>
        <w:rPr>
          <w:rFonts w:hint="eastAsia"/>
        </w:rPr>
        <w:t>普遍服务水平持续提升。到2025年，完成老旧居民小区供电设施改造，实现“一户一表”全覆盖，居民人均生活用电量达900千瓦时以上；城镇居民天然气普及率达99.0%以上；推进农村用能供应方式多元化体系建设，提升乡村清洁能源保障能力。</w:t>
      </w:r>
    </w:p>
    <w:p w14:paraId="703534B6">
      <w:pPr>
        <w:jc w:val="center"/>
        <w:rPr>
          <w:rFonts w:hint="eastAsia" w:eastAsia="方正黑体_GBK"/>
        </w:rPr>
      </w:pPr>
      <w:r>
        <w:rPr>
          <w:rFonts w:hint="eastAsia" w:eastAsia="方正黑体_GBK"/>
        </w:rPr>
        <w:t>专栏2  “十四五”能源发展规划主要指标</w:t>
      </w:r>
    </w:p>
    <w:tbl>
      <w:tblPr>
        <w:tblStyle w:val="6"/>
        <w:tblW w:w="8806"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2576"/>
        <w:gridCol w:w="1148"/>
        <w:gridCol w:w="951"/>
        <w:gridCol w:w="952"/>
        <w:gridCol w:w="1120"/>
        <w:gridCol w:w="924"/>
      </w:tblGrid>
      <w:tr w14:paraId="140FB5F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tblHeader/>
          <w:jc w:val="center"/>
        </w:trPr>
        <w:tc>
          <w:tcPr>
            <w:tcW w:w="1135" w:type="dxa"/>
            <w:noWrap w:val="0"/>
            <w:tcMar>
              <w:left w:w="85" w:type="dxa"/>
              <w:right w:w="85" w:type="dxa"/>
            </w:tcMar>
            <w:vAlign w:val="center"/>
          </w:tcPr>
          <w:p w14:paraId="749EACEF">
            <w:pPr>
              <w:jc w:val="center"/>
              <w:rPr>
                <w:rFonts w:hint="eastAsia" w:eastAsia="方正黑体_GBK"/>
                <w:sz w:val="24"/>
                <w:szCs w:val="24"/>
              </w:rPr>
            </w:pPr>
            <w:r>
              <w:rPr>
                <w:rFonts w:hint="eastAsia" w:eastAsia="方正黑体_GBK"/>
                <w:sz w:val="24"/>
                <w:szCs w:val="24"/>
              </w:rPr>
              <w:t>目标</w:t>
            </w:r>
          </w:p>
        </w:tc>
        <w:tc>
          <w:tcPr>
            <w:tcW w:w="2576" w:type="dxa"/>
            <w:noWrap w:val="0"/>
            <w:tcMar>
              <w:left w:w="85" w:type="dxa"/>
              <w:right w:w="85" w:type="dxa"/>
            </w:tcMar>
            <w:vAlign w:val="center"/>
          </w:tcPr>
          <w:p w14:paraId="72975E01">
            <w:pPr>
              <w:jc w:val="center"/>
              <w:rPr>
                <w:rFonts w:hint="eastAsia" w:eastAsia="方正黑体_GBK"/>
                <w:sz w:val="24"/>
                <w:szCs w:val="24"/>
              </w:rPr>
            </w:pPr>
            <w:r>
              <w:rPr>
                <w:rFonts w:hint="eastAsia" w:eastAsia="方正黑体_GBK"/>
                <w:sz w:val="24"/>
                <w:szCs w:val="24"/>
              </w:rPr>
              <w:t>指标名称</w:t>
            </w:r>
          </w:p>
        </w:tc>
        <w:tc>
          <w:tcPr>
            <w:tcW w:w="1148" w:type="dxa"/>
            <w:noWrap w:val="0"/>
            <w:tcMar>
              <w:left w:w="85" w:type="dxa"/>
              <w:right w:w="85" w:type="dxa"/>
            </w:tcMar>
            <w:vAlign w:val="center"/>
          </w:tcPr>
          <w:p w14:paraId="0A87D787">
            <w:pPr>
              <w:jc w:val="center"/>
              <w:rPr>
                <w:rFonts w:hint="eastAsia" w:eastAsia="方正黑体_GBK"/>
                <w:sz w:val="24"/>
                <w:szCs w:val="24"/>
              </w:rPr>
            </w:pPr>
            <w:r>
              <w:rPr>
                <w:rFonts w:hint="eastAsia" w:eastAsia="方正黑体_GBK"/>
                <w:sz w:val="24"/>
                <w:szCs w:val="24"/>
              </w:rPr>
              <w:t>单位</w:t>
            </w:r>
          </w:p>
        </w:tc>
        <w:tc>
          <w:tcPr>
            <w:tcW w:w="951" w:type="dxa"/>
            <w:noWrap w:val="0"/>
            <w:tcMar>
              <w:left w:w="85" w:type="dxa"/>
              <w:right w:w="85" w:type="dxa"/>
            </w:tcMar>
            <w:vAlign w:val="center"/>
          </w:tcPr>
          <w:p w14:paraId="77C99889">
            <w:pPr>
              <w:jc w:val="center"/>
              <w:rPr>
                <w:rFonts w:hint="eastAsia" w:eastAsia="方正黑体_GBK"/>
                <w:sz w:val="24"/>
                <w:szCs w:val="24"/>
              </w:rPr>
            </w:pPr>
            <w:r>
              <w:rPr>
                <w:rFonts w:hint="eastAsia" w:eastAsia="方正黑体_GBK"/>
                <w:sz w:val="24"/>
                <w:szCs w:val="24"/>
              </w:rPr>
              <w:t>属性</w:t>
            </w:r>
          </w:p>
        </w:tc>
        <w:tc>
          <w:tcPr>
            <w:tcW w:w="952" w:type="dxa"/>
            <w:noWrap w:val="0"/>
            <w:tcMar>
              <w:left w:w="85" w:type="dxa"/>
              <w:right w:w="85" w:type="dxa"/>
            </w:tcMar>
            <w:vAlign w:val="center"/>
          </w:tcPr>
          <w:p w14:paraId="42008DF7">
            <w:pPr>
              <w:jc w:val="center"/>
              <w:rPr>
                <w:rFonts w:hint="eastAsia" w:eastAsia="方正黑体_GBK"/>
                <w:sz w:val="24"/>
                <w:szCs w:val="24"/>
              </w:rPr>
            </w:pPr>
            <w:r>
              <w:rPr>
                <w:rFonts w:hint="eastAsia" w:eastAsia="方正黑体_GBK"/>
                <w:sz w:val="24"/>
                <w:szCs w:val="24"/>
              </w:rPr>
              <w:t>2020年</w:t>
            </w:r>
          </w:p>
        </w:tc>
        <w:tc>
          <w:tcPr>
            <w:tcW w:w="1120" w:type="dxa"/>
            <w:noWrap w:val="0"/>
            <w:tcMar>
              <w:left w:w="85" w:type="dxa"/>
              <w:right w:w="85" w:type="dxa"/>
            </w:tcMar>
            <w:vAlign w:val="center"/>
          </w:tcPr>
          <w:p w14:paraId="38FCD9B7">
            <w:pPr>
              <w:jc w:val="center"/>
              <w:rPr>
                <w:rFonts w:hint="eastAsia" w:eastAsia="方正黑体_GBK"/>
                <w:sz w:val="24"/>
                <w:szCs w:val="24"/>
              </w:rPr>
            </w:pPr>
            <w:r>
              <w:rPr>
                <w:rFonts w:hint="eastAsia" w:eastAsia="方正黑体_GBK"/>
                <w:sz w:val="24"/>
                <w:szCs w:val="24"/>
              </w:rPr>
              <w:t>2025年</w:t>
            </w:r>
          </w:p>
        </w:tc>
        <w:tc>
          <w:tcPr>
            <w:tcW w:w="924" w:type="dxa"/>
            <w:noWrap w:val="0"/>
            <w:tcMar>
              <w:left w:w="85" w:type="dxa"/>
              <w:right w:w="85" w:type="dxa"/>
            </w:tcMar>
            <w:vAlign w:val="center"/>
          </w:tcPr>
          <w:p w14:paraId="65F8BCBF">
            <w:pPr>
              <w:jc w:val="center"/>
              <w:rPr>
                <w:rFonts w:hint="eastAsia" w:eastAsia="方正黑体_GBK"/>
                <w:sz w:val="24"/>
                <w:szCs w:val="24"/>
              </w:rPr>
            </w:pPr>
            <w:r>
              <w:rPr>
                <w:rFonts w:hint="eastAsia" w:eastAsia="方正黑体_GBK"/>
                <w:sz w:val="24"/>
                <w:szCs w:val="24"/>
              </w:rPr>
              <w:t>年均增速（%）</w:t>
            </w:r>
          </w:p>
        </w:tc>
      </w:tr>
      <w:tr w14:paraId="53F449C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restart"/>
            <w:noWrap w:val="0"/>
            <w:tcMar>
              <w:left w:w="85" w:type="dxa"/>
              <w:right w:w="85" w:type="dxa"/>
            </w:tcMar>
            <w:vAlign w:val="center"/>
          </w:tcPr>
          <w:p w14:paraId="69A3C79E">
            <w:pPr>
              <w:rPr>
                <w:rFonts w:hint="eastAsia" w:eastAsia="方正书宋_GBK"/>
                <w:sz w:val="24"/>
                <w:szCs w:val="24"/>
              </w:rPr>
            </w:pPr>
            <w:r>
              <w:rPr>
                <w:rFonts w:hint="eastAsia" w:eastAsia="方正书宋_GBK"/>
                <w:sz w:val="24"/>
                <w:szCs w:val="24"/>
              </w:rPr>
              <w:t>能源保障安全有力</w:t>
            </w:r>
          </w:p>
        </w:tc>
        <w:tc>
          <w:tcPr>
            <w:tcW w:w="2576" w:type="dxa"/>
            <w:noWrap w:val="0"/>
            <w:tcMar>
              <w:left w:w="85" w:type="dxa"/>
              <w:right w:w="85" w:type="dxa"/>
            </w:tcMar>
            <w:vAlign w:val="center"/>
          </w:tcPr>
          <w:p w14:paraId="678CB5E5">
            <w:pPr>
              <w:rPr>
                <w:rFonts w:hint="eastAsia" w:eastAsia="方正书宋_GBK"/>
                <w:sz w:val="24"/>
                <w:szCs w:val="24"/>
              </w:rPr>
            </w:pPr>
            <w:r>
              <w:rPr>
                <w:rFonts w:hint="eastAsia" w:eastAsia="方正书宋_GBK"/>
                <w:sz w:val="24"/>
                <w:szCs w:val="24"/>
              </w:rPr>
              <w:t>电力装机总量</w:t>
            </w:r>
          </w:p>
        </w:tc>
        <w:tc>
          <w:tcPr>
            <w:tcW w:w="1148" w:type="dxa"/>
            <w:noWrap w:val="0"/>
            <w:tcMar>
              <w:left w:w="85" w:type="dxa"/>
              <w:right w:w="85" w:type="dxa"/>
            </w:tcMar>
            <w:vAlign w:val="center"/>
          </w:tcPr>
          <w:p w14:paraId="454305F8">
            <w:pPr>
              <w:jc w:val="center"/>
              <w:rPr>
                <w:rFonts w:hint="eastAsia" w:eastAsia="方正书宋_GBK"/>
                <w:sz w:val="24"/>
                <w:szCs w:val="24"/>
              </w:rPr>
            </w:pPr>
            <w:r>
              <w:rPr>
                <w:rFonts w:hint="eastAsia" w:eastAsia="方正书宋_GBK"/>
                <w:sz w:val="24"/>
                <w:szCs w:val="24"/>
              </w:rPr>
              <w:t>万千瓦</w:t>
            </w:r>
          </w:p>
        </w:tc>
        <w:tc>
          <w:tcPr>
            <w:tcW w:w="951" w:type="dxa"/>
            <w:noWrap w:val="0"/>
            <w:tcMar>
              <w:left w:w="85" w:type="dxa"/>
              <w:right w:w="85" w:type="dxa"/>
            </w:tcMar>
            <w:vAlign w:val="center"/>
          </w:tcPr>
          <w:p w14:paraId="17A86FF0">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14F02160">
            <w:pPr>
              <w:jc w:val="center"/>
              <w:rPr>
                <w:rFonts w:hint="eastAsia" w:eastAsia="方正书宋_GBK"/>
                <w:sz w:val="24"/>
                <w:szCs w:val="24"/>
              </w:rPr>
            </w:pPr>
            <w:r>
              <w:rPr>
                <w:rFonts w:hint="eastAsia" w:eastAsia="方正书宋_GBK"/>
                <w:sz w:val="24"/>
                <w:szCs w:val="24"/>
              </w:rPr>
              <w:t>2607</w:t>
            </w:r>
          </w:p>
        </w:tc>
        <w:tc>
          <w:tcPr>
            <w:tcW w:w="1120" w:type="dxa"/>
            <w:noWrap w:val="0"/>
            <w:tcMar>
              <w:left w:w="85" w:type="dxa"/>
              <w:right w:w="85" w:type="dxa"/>
            </w:tcMar>
            <w:vAlign w:val="center"/>
          </w:tcPr>
          <w:p w14:paraId="3C7836FC">
            <w:pPr>
              <w:jc w:val="center"/>
              <w:rPr>
                <w:rFonts w:hint="eastAsia" w:eastAsia="方正书宋_GBK"/>
                <w:sz w:val="24"/>
                <w:szCs w:val="24"/>
              </w:rPr>
            </w:pPr>
            <w:r>
              <w:rPr>
                <w:rFonts w:hint="eastAsia" w:eastAsia="方正书宋_GBK"/>
                <w:sz w:val="24"/>
                <w:szCs w:val="24"/>
              </w:rPr>
              <w:t>3650</w:t>
            </w:r>
          </w:p>
        </w:tc>
        <w:tc>
          <w:tcPr>
            <w:tcW w:w="924" w:type="dxa"/>
            <w:noWrap w:val="0"/>
            <w:tcMar>
              <w:left w:w="85" w:type="dxa"/>
              <w:right w:w="85" w:type="dxa"/>
            </w:tcMar>
            <w:vAlign w:val="center"/>
          </w:tcPr>
          <w:p w14:paraId="34B419FF">
            <w:pPr>
              <w:jc w:val="center"/>
              <w:rPr>
                <w:rFonts w:hint="eastAsia" w:eastAsia="方正书宋_GBK"/>
                <w:sz w:val="24"/>
                <w:szCs w:val="24"/>
              </w:rPr>
            </w:pPr>
            <w:r>
              <w:rPr>
                <w:rFonts w:hint="eastAsia" w:eastAsia="方正书宋_GBK"/>
                <w:sz w:val="24"/>
                <w:szCs w:val="24"/>
              </w:rPr>
              <w:t>7.0</w:t>
            </w:r>
          </w:p>
        </w:tc>
      </w:tr>
      <w:tr w14:paraId="037E558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14:paraId="20CCC9DF">
            <w:pPr>
              <w:rPr>
                <w:rFonts w:hint="eastAsia" w:eastAsia="方正书宋_GBK"/>
                <w:sz w:val="24"/>
                <w:szCs w:val="24"/>
              </w:rPr>
            </w:pPr>
          </w:p>
        </w:tc>
        <w:tc>
          <w:tcPr>
            <w:tcW w:w="2576" w:type="dxa"/>
            <w:noWrap w:val="0"/>
            <w:tcMar>
              <w:left w:w="85" w:type="dxa"/>
              <w:right w:w="85" w:type="dxa"/>
            </w:tcMar>
            <w:vAlign w:val="center"/>
          </w:tcPr>
          <w:p w14:paraId="39719664">
            <w:pPr>
              <w:rPr>
                <w:rFonts w:hint="eastAsia" w:eastAsia="方正书宋_GBK"/>
                <w:sz w:val="24"/>
                <w:szCs w:val="24"/>
              </w:rPr>
            </w:pPr>
            <w:r>
              <w:rPr>
                <w:rFonts w:hint="eastAsia" w:eastAsia="方正书宋_GBK"/>
                <w:sz w:val="24"/>
                <w:szCs w:val="24"/>
              </w:rPr>
              <w:t>全社会用电量</w:t>
            </w:r>
          </w:p>
        </w:tc>
        <w:tc>
          <w:tcPr>
            <w:tcW w:w="1148" w:type="dxa"/>
            <w:noWrap w:val="0"/>
            <w:tcMar>
              <w:left w:w="85" w:type="dxa"/>
              <w:right w:w="85" w:type="dxa"/>
            </w:tcMar>
            <w:vAlign w:val="center"/>
          </w:tcPr>
          <w:p w14:paraId="04C3BDBE">
            <w:pPr>
              <w:jc w:val="center"/>
              <w:rPr>
                <w:rFonts w:hint="eastAsia" w:eastAsia="方正书宋_GBK"/>
                <w:sz w:val="24"/>
                <w:szCs w:val="24"/>
              </w:rPr>
            </w:pPr>
            <w:r>
              <w:rPr>
                <w:rFonts w:hint="eastAsia" w:eastAsia="方正书宋_GBK"/>
                <w:sz w:val="24"/>
                <w:szCs w:val="24"/>
              </w:rPr>
              <w:t>亿千瓦时</w:t>
            </w:r>
          </w:p>
        </w:tc>
        <w:tc>
          <w:tcPr>
            <w:tcW w:w="951" w:type="dxa"/>
            <w:noWrap w:val="0"/>
            <w:tcMar>
              <w:left w:w="85" w:type="dxa"/>
              <w:right w:w="85" w:type="dxa"/>
            </w:tcMar>
            <w:vAlign w:val="center"/>
          </w:tcPr>
          <w:p w14:paraId="29C25EB6">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5B600378">
            <w:pPr>
              <w:jc w:val="center"/>
              <w:rPr>
                <w:rFonts w:hint="eastAsia" w:eastAsia="方正书宋_GBK"/>
                <w:sz w:val="24"/>
                <w:szCs w:val="24"/>
              </w:rPr>
            </w:pPr>
            <w:r>
              <w:rPr>
                <w:rFonts w:hint="eastAsia" w:eastAsia="方正书宋_GBK"/>
                <w:sz w:val="24"/>
                <w:szCs w:val="24"/>
              </w:rPr>
              <w:t>1187</w:t>
            </w:r>
          </w:p>
        </w:tc>
        <w:tc>
          <w:tcPr>
            <w:tcW w:w="1120" w:type="dxa"/>
            <w:noWrap w:val="0"/>
            <w:tcMar>
              <w:left w:w="85" w:type="dxa"/>
              <w:right w:w="85" w:type="dxa"/>
            </w:tcMar>
            <w:vAlign w:val="center"/>
          </w:tcPr>
          <w:p w14:paraId="286889A4">
            <w:pPr>
              <w:jc w:val="center"/>
              <w:rPr>
                <w:rFonts w:hint="eastAsia" w:eastAsia="方正书宋_GBK"/>
                <w:sz w:val="24"/>
                <w:szCs w:val="24"/>
              </w:rPr>
            </w:pPr>
            <w:r>
              <w:rPr>
                <w:rFonts w:hint="eastAsia" w:eastAsia="方正书宋_GBK"/>
                <w:sz w:val="24"/>
                <w:szCs w:val="24"/>
              </w:rPr>
              <w:t>1620</w:t>
            </w:r>
          </w:p>
        </w:tc>
        <w:tc>
          <w:tcPr>
            <w:tcW w:w="924" w:type="dxa"/>
            <w:noWrap w:val="0"/>
            <w:tcMar>
              <w:left w:w="85" w:type="dxa"/>
              <w:right w:w="85" w:type="dxa"/>
            </w:tcMar>
            <w:vAlign w:val="center"/>
          </w:tcPr>
          <w:p w14:paraId="43E12A66">
            <w:pPr>
              <w:jc w:val="center"/>
              <w:rPr>
                <w:rFonts w:hint="eastAsia" w:eastAsia="方正书宋_GBK"/>
                <w:sz w:val="24"/>
                <w:szCs w:val="24"/>
              </w:rPr>
            </w:pPr>
            <w:r>
              <w:rPr>
                <w:rFonts w:hint="eastAsia" w:eastAsia="方正书宋_GBK"/>
                <w:sz w:val="24"/>
                <w:szCs w:val="24"/>
              </w:rPr>
              <w:t>6.4</w:t>
            </w:r>
          </w:p>
        </w:tc>
      </w:tr>
      <w:tr w14:paraId="710BE62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14:paraId="63701C5D">
            <w:pPr>
              <w:rPr>
                <w:rFonts w:hint="eastAsia" w:eastAsia="方正书宋_GBK"/>
                <w:sz w:val="24"/>
                <w:szCs w:val="24"/>
              </w:rPr>
            </w:pPr>
          </w:p>
        </w:tc>
        <w:tc>
          <w:tcPr>
            <w:tcW w:w="2576" w:type="dxa"/>
            <w:noWrap w:val="0"/>
            <w:tcMar>
              <w:left w:w="85" w:type="dxa"/>
              <w:right w:w="85" w:type="dxa"/>
            </w:tcMar>
            <w:vAlign w:val="center"/>
          </w:tcPr>
          <w:p w14:paraId="2883324D">
            <w:pPr>
              <w:rPr>
                <w:rFonts w:hint="eastAsia" w:eastAsia="方正书宋_GBK"/>
                <w:sz w:val="24"/>
                <w:szCs w:val="24"/>
              </w:rPr>
            </w:pPr>
            <w:r>
              <w:rPr>
                <w:rFonts w:hint="eastAsia" w:eastAsia="方正书宋_GBK"/>
                <w:sz w:val="24"/>
                <w:szCs w:val="24"/>
              </w:rPr>
              <w:t>常规天然气产量</w:t>
            </w:r>
          </w:p>
        </w:tc>
        <w:tc>
          <w:tcPr>
            <w:tcW w:w="1148" w:type="dxa"/>
            <w:noWrap w:val="0"/>
            <w:tcMar>
              <w:left w:w="85" w:type="dxa"/>
              <w:right w:w="85" w:type="dxa"/>
            </w:tcMar>
            <w:vAlign w:val="center"/>
          </w:tcPr>
          <w:p w14:paraId="4FF7F350">
            <w:pPr>
              <w:jc w:val="center"/>
              <w:rPr>
                <w:rFonts w:hint="eastAsia" w:eastAsia="方正书宋_GBK"/>
                <w:sz w:val="24"/>
                <w:szCs w:val="24"/>
              </w:rPr>
            </w:pPr>
            <w:r>
              <w:rPr>
                <w:rFonts w:hint="eastAsia" w:eastAsia="方正书宋_GBK"/>
                <w:sz w:val="24"/>
                <w:szCs w:val="24"/>
              </w:rPr>
              <w:t>亿立方米</w:t>
            </w:r>
          </w:p>
        </w:tc>
        <w:tc>
          <w:tcPr>
            <w:tcW w:w="951" w:type="dxa"/>
            <w:noWrap w:val="0"/>
            <w:tcMar>
              <w:left w:w="85" w:type="dxa"/>
              <w:right w:w="85" w:type="dxa"/>
            </w:tcMar>
            <w:vAlign w:val="center"/>
          </w:tcPr>
          <w:p w14:paraId="311045DB">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656EBA9D">
            <w:pPr>
              <w:jc w:val="center"/>
              <w:rPr>
                <w:rFonts w:hint="eastAsia" w:eastAsia="方正书宋_GBK"/>
                <w:sz w:val="24"/>
                <w:szCs w:val="24"/>
              </w:rPr>
            </w:pPr>
            <w:r>
              <w:rPr>
                <w:rFonts w:hint="eastAsia" w:eastAsia="方正书宋_GBK"/>
                <w:sz w:val="24"/>
                <w:szCs w:val="24"/>
              </w:rPr>
              <w:t>50</w:t>
            </w:r>
          </w:p>
        </w:tc>
        <w:tc>
          <w:tcPr>
            <w:tcW w:w="1120" w:type="dxa"/>
            <w:noWrap w:val="0"/>
            <w:tcMar>
              <w:left w:w="85" w:type="dxa"/>
              <w:right w:w="85" w:type="dxa"/>
            </w:tcMar>
            <w:vAlign w:val="center"/>
          </w:tcPr>
          <w:p w14:paraId="43B26E08">
            <w:pPr>
              <w:jc w:val="center"/>
              <w:rPr>
                <w:rFonts w:hint="eastAsia" w:eastAsia="方正书宋_GBK"/>
                <w:sz w:val="24"/>
                <w:szCs w:val="24"/>
              </w:rPr>
            </w:pPr>
            <w:r>
              <w:rPr>
                <w:rFonts w:hint="eastAsia" w:eastAsia="方正书宋_GBK"/>
                <w:sz w:val="24"/>
                <w:szCs w:val="24"/>
              </w:rPr>
              <w:t>50</w:t>
            </w:r>
          </w:p>
        </w:tc>
        <w:tc>
          <w:tcPr>
            <w:tcW w:w="924" w:type="dxa"/>
            <w:noWrap w:val="0"/>
            <w:tcMar>
              <w:left w:w="85" w:type="dxa"/>
              <w:right w:w="85" w:type="dxa"/>
            </w:tcMar>
            <w:vAlign w:val="center"/>
          </w:tcPr>
          <w:p w14:paraId="226776BC">
            <w:pPr>
              <w:jc w:val="center"/>
              <w:rPr>
                <w:rFonts w:hint="eastAsia" w:eastAsia="方正书宋_GBK"/>
                <w:sz w:val="24"/>
                <w:szCs w:val="24"/>
              </w:rPr>
            </w:pPr>
          </w:p>
        </w:tc>
      </w:tr>
      <w:tr w14:paraId="2DDA79B8">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14:paraId="61941144">
            <w:pPr>
              <w:rPr>
                <w:rFonts w:hint="eastAsia" w:eastAsia="方正书宋_GBK"/>
                <w:sz w:val="24"/>
                <w:szCs w:val="24"/>
              </w:rPr>
            </w:pPr>
          </w:p>
        </w:tc>
        <w:tc>
          <w:tcPr>
            <w:tcW w:w="2576" w:type="dxa"/>
            <w:noWrap w:val="0"/>
            <w:tcMar>
              <w:left w:w="85" w:type="dxa"/>
              <w:right w:w="85" w:type="dxa"/>
            </w:tcMar>
            <w:vAlign w:val="center"/>
          </w:tcPr>
          <w:p w14:paraId="44C99284">
            <w:pPr>
              <w:rPr>
                <w:rFonts w:hint="eastAsia" w:eastAsia="方正书宋_GBK"/>
                <w:sz w:val="24"/>
                <w:szCs w:val="24"/>
              </w:rPr>
            </w:pPr>
            <w:r>
              <w:rPr>
                <w:rFonts w:hint="eastAsia" w:eastAsia="方正书宋_GBK"/>
                <w:sz w:val="24"/>
                <w:szCs w:val="24"/>
              </w:rPr>
              <w:t>页岩气产量</w:t>
            </w:r>
          </w:p>
        </w:tc>
        <w:tc>
          <w:tcPr>
            <w:tcW w:w="1148" w:type="dxa"/>
            <w:noWrap w:val="0"/>
            <w:tcMar>
              <w:left w:w="85" w:type="dxa"/>
              <w:right w:w="85" w:type="dxa"/>
            </w:tcMar>
            <w:vAlign w:val="center"/>
          </w:tcPr>
          <w:p w14:paraId="6289068D">
            <w:pPr>
              <w:jc w:val="center"/>
              <w:rPr>
                <w:rFonts w:hint="eastAsia" w:eastAsia="方正书宋_GBK"/>
                <w:sz w:val="24"/>
                <w:szCs w:val="24"/>
              </w:rPr>
            </w:pPr>
            <w:r>
              <w:rPr>
                <w:rFonts w:hint="eastAsia" w:eastAsia="方正书宋_GBK"/>
                <w:sz w:val="24"/>
                <w:szCs w:val="24"/>
              </w:rPr>
              <w:t>亿立方米</w:t>
            </w:r>
          </w:p>
        </w:tc>
        <w:tc>
          <w:tcPr>
            <w:tcW w:w="951" w:type="dxa"/>
            <w:noWrap w:val="0"/>
            <w:tcMar>
              <w:left w:w="85" w:type="dxa"/>
              <w:right w:w="85" w:type="dxa"/>
            </w:tcMar>
            <w:vAlign w:val="center"/>
          </w:tcPr>
          <w:p w14:paraId="22D0E217">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4EF16654">
            <w:pPr>
              <w:jc w:val="center"/>
              <w:rPr>
                <w:rFonts w:hint="eastAsia" w:eastAsia="方正书宋_GBK"/>
                <w:sz w:val="24"/>
                <w:szCs w:val="24"/>
              </w:rPr>
            </w:pPr>
            <w:r>
              <w:rPr>
                <w:rFonts w:hint="eastAsia" w:eastAsia="方正书宋_GBK"/>
                <w:sz w:val="24"/>
                <w:szCs w:val="24"/>
              </w:rPr>
              <w:t>80</w:t>
            </w:r>
          </w:p>
        </w:tc>
        <w:tc>
          <w:tcPr>
            <w:tcW w:w="1120" w:type="dxa"/>
            <w:noWrap w:val="0"/>
            <w:tcMar>
              <w:left w:w="85" w:type="dxa"/>
              <w:right w:w="85" w:type="dxa"/>
            </w:tcMar>
            <w:vAlign w:val="center"/>
          </w:tcPr>
          <w:p w14:paraId="0F149D01">
            <w:pPr>
              <w:jc w:val="center"/>
              <w:rPr>
                <w:rFonts w:hint="eastAsia" w:eastAsia="方正书宋_GBK"/>
                <w:sz w:val="24"/>
                <w:szCs w:val="24"/>
              </w:rPr>
            </w:pPr>
            <w:r>
              <w:rPr>
                <w:rFonts w:hint="eastAsia" w:eastAsia="方正书宋_GBK"/>
                <w:sz w:val="24"/>
                <w:szCs w:val="24"/>
              </w:rPr>
              <w:t>135</w:t>
            </w:r>
          </w:p>
        </w:tc>
        <w:tc>
          <w:tcPr>
            <w:tcW w:w="924" w:type="dxa"/>
            <w:noWrap w:val="0"/>
            <w:tcMar>
              <w:left w:w="85" w:type="dxa"/>
              <w:right w:w="85" w:type="dxa"/>
            </w:tcMar>
            <w:vAlign w:val="center"/>
          </w:tcPr>
          <w:p w14:paraId="25FEAD06">
            <w:pPr>
              <w:jc w:val="center"/>
              <w:rPr>
                <w:rFonts w:hint="eastAsia" w:eastAsia="方正书宋_GBK"/>
                <w:sz w:val="24"/>
                <w:szCs w:val="24"/>
              </w:rPr>
            </w:pPr>
            <w:r>
              <w:rPr>
                <w:rFonts w:hint="eastAsia" w:eastAsia="方正书宋_GBK"/>
                <w:sz w:val="24"/>
                <w:szCs w:val="24"/>
              </w:rPr>
              <w:t>11.0</w:t>
            </w:r>
          </w:p>
        </w:tc>
      </w:tr>
      <w:tr w14:paraId="7CB631A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14:paraId="5D179541">
            <w:pPr>
              <w:rPr>
                <w:rFonts w:hint="eastAsia" w:eastAsia="方正书宋_GBK"/>
                <w:sz w:val="24"/>
                <w:szCs w:val="24"/>
              </w:rPr>
            </w:pPr>
          </w:p>
        </w:tc>
        <w:tc>
          <w:tcPr>
            <w:tcW w:w="2576" w:type="dxa"/>
            <w:noWrap w:val="0"/>
            <w:tcMar>
              <w:left w:w="85" w:type="dxa"/>
              <w:right w:w="85" w:type="dxa"/>
            </w:tcMar>
            <w:vAlign w:val="center"/>
          </w:tcPr>
          <w:p w14:paraId="39059C7B">
            <w:pPr>
              <w:rPr>
                <w:rFonts w:hint="eastAsia" w:eastAsia="方正书宋_GBK"/>
                <w:sz w:val="24"/>
                <w:szCs w:val="24"/>
              </w:rPr>
            </w:pPr>
            <w:r>
              <w:rPr>
                <w:rFonts w:hint="eastAsia" w:eastAsia="方正书宋_GBK"/>
                <w:sz w:val="24"/>
                <w:szCs w:val="24"/>
              </w:rPr>
              <w:t>储气能力占天然气消费比重</w:t>
            </w:r>
          </w:p>
        </w:tc>
        <w:tc>
          <w:tcPr>
            <w:tcW w:w="1148" w:type="dxa"/>
            <w:noWrap w:val="0"/>
            <w:tcMar>
              <w:left w:w="85" w:type="dxa"/>
              <w:right w:w="85" w:type="dxa"/>
            </w:tcMar>
            <w:vAlign w:val="center"/>
          </w:tcPr>
          <w:p w14:paraId="6CE3919A">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4E1BD752">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7D46A22D">
            <w:pPr>
              <w:jc w:val="center"/>
              <w:rPr>
                <w:rFonts w:hint="eastAsia" w:eastAsia="方正书宋_GBK"/>
                <w:sz w:val="24"/>
                <w:szCs w:val="24"/>
              </w:rPr>
            </w:pPr>
            <w:r>
              <w:rPr>
                <w:rFonts w:hint="eastAsia" w:eastAsia="方正书宋_GBK"/>
                <w:sz w:val="24"/>
                <w:szCs w:val="24"/>
              </w:rPr>
              <w:t>3.3</w:t>
            </w:r>
          </w:p>
        </w:tc>
        <w:tc>
          <w:tcPr>
            <w:tcW w:w="1120" w:type="dxa"/>
            <w:noWrap w:val="0"/>
            <w:tcMar>
              <w:left w:w="85" w:type="dxa"/>
              <w:right w:w="85" w:type="dxa"/>
            </w:tcMar>
            <w:vAlign w:val="center"/>
          </w:tcPr>
          <w:p w14:paraId="092B3BBF">
            <w:pPr>
              <w:jc w:val="center"/>
              <w:rPr>
                <w:rFonts w:hint="eastAsia" w:eastAsia="方正书宋_GBK"/>
                <w:sz w:val="24"/>
                <w:szCs w:val="24"/>
              </w:rPr>
            </w:pPr>
            <w:r>
              <w:rPr>
                <w:rFonts w:hint="eastAsia" w:eastAsia="方正书宋_GBK"/>
                <w:sz w:val="24"/>
                <w:szCs w:val="24"/>
              </w:rPr>
              <w:t>4</w:t>
            </w:r>
          </w:p>
        </w:tc>
        <w:tc>
          <w:tcPr>
            <w:tcW w:w="924" w:type="dxa"/>
            <w:noWrap w:val="0"/>
            <w:tcMar>
              <w:left w:w="85" w:type="dxa"/>
              <w:right w:w="85" w:type="dxa"/>
            </w:tcMar>
            <w:vAlign w:val="center"/>
          </w:tcPr>
          <w:p w14:paraId="41BDCEA1">
            <w:pPr>
              <w:jc w:val="center"/>
              <w:rPr>
                <w:rFonts w:hint="eastAsia" w:eastAsia="方正书宋_GBK"/>
                <w:sz w:val="24"/>
                <w:szCs w:val="24"/>
              </w:rPr>
            </w:pPr>
            <w:r>
              <w:rPr>
                <w:rFonts w:hint="eastAsia" w:eastAsia="方正书宋_GBK"/>
                <w:sz w:val="24"/>
                <w:szCs w:val="24"/>
              </w:rPr>
              <w:t>[0.7]</w:t>
            </w:r>
          </w:p>
        </w:tc>
      </w:tr>
      <w:tr w14:paraId="798D715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14:paraId="09FC07FC">
            <w:pPr>
              <w:rPr>
                <w:rFonts w:hint="eastAsia" w:eastAsia="方正书宋_GBK"/>
                <w:sz w:val="24"/>
                <w:szCs w:val="24"/>
              </w:rPr>
            </w:pPr>
          </w:p>
        </w:tc>
        <w:tc>
          <w:tcPr>
            <w:tcW w:w="2576" w:type="dxa"/>
            <w:noWrap w:val="0"/>
            <w:tcMar>
              <w:left w:w="85" w:type="dxa"/>
              <w:right w:w="85" w:type="dxa"/>
            </w:tcMar>
            <w:vAlign w:val="center"/>
          </w:tcPr>
          <w:p w14:paraId="0C978B42">
            <w:pPr>
              <w:rPr>
                <w:rFonts w:hint="eastAsia" w:eastAsia="方正书宋_GBK"/>
                <w:sz w:val="24"/>
                <w:szCs w:val="24"/>
              </w:rPr>
            </w:pPr>
            <w:r>
              <w:rPr>
                <w:rFonts w:hint="eastAsia" w:eastAsia="方正书宋_GBK"/>
                <w:sz w:val="24"/>
                <w:szCs w:val="24"/>
              </w:rPr>
              <w:t>煤炭储备能力占年消费量比重</w:t>
            </w:r>
          </w:p>
        </w:tc>
        <w:tc>
          <w:tcPr>
            <w:tcW w:w="1148" w:type="dxa"/>
            <w:noWrap w:val="0"/>
            <w:tcMar>
              <w:left w:w="85" w:type="dxa"/>
              <w:right w:w="85" w:type="dxa"/>
            </w:tcMar>
            <w:vAlign w:val="center"/>
          </w:tcPr>
          <w:p w14:paraId="1CD948AA">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703D1A69">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400CAA72">
            <w:pPr>
              <w:jc w:val="center"/>
              <w:rPr>
                <w:rFonts w:hint="eastAsia" w:eastAsia="方正书宋_GBK"/>
                <w:sz w:val="24"/>
                <w:szCs w:val="24"/>
              </w:rPr>
            </w:pPr>
            <w:r>
              <w:rPr>
                <w:rFonts w:hint="eastAsia" w:eastAsia="方正书宋_GBK"/>
                <w:sz w:val="24"/>
                <w:szCs w:val="24"/>
              </w:rPr>
              <w:t>10</w:t>
            </w:r>
          </w:p>
        </w:tc>
        <w:tc>
          <w:tcPr>
            <w:tcW w:w="1120" w:type="dxa"/>
            <w:noWrap w:val="0"/>
            <w:tcMar>
              <w:left w:w="85" w:type="dxa"/>
              <w:right w:w="85" w:type="dxa"/>
            </w:tcMar>
            <w:vAlign w:val="center"/>
          </w:tcPr>
          <w:p w14:paraId="03DBA6A5">
            <w:pPr>
              <w:jc w:val="center"/>
              <w:rPr>
                <w:rFonts w:hint="eastAsia" w:eastAsia="方正书宋_GBK"/>
                <w:sz w:val="24"/>
                <w:szCs w:val="24"/>
              </w:rPr>
            </w:pPr>
            <w:r>
              <w:rPr>
                <w:rFonts w:hint="eastAsia" w:eastAsia="方正书宋_GBK"/>
                <w:sz w:val="24"/>
                <w:szCs w:val="24"/>
              </w:rPr>
              <w:t>15</w:t>
            </w:r>
          </w:p>
        </w:tc>
        <w:tc>
          <w:tcPr>
            <w:tcW w:w="924" w:type="dxa"/>
            <w:noWrap w:val="0"/>
            <w:tcMar>
              <w:left w:w="85" w:type="dxa"/>
              <w:right w:w="85" w:type="dxa"/>
            </w:tcMar>
            <w:vAlign w:val="center"/>
          </w:tcPr>
          <w:p w14:paraId="496239FF">
            <w:pPr>
              <w:jc w:val="center"/>
              <w:rPr>
                <w:rFonts w:hint="eastAsia" w:eastAsia="方正书宋_GBK"/>
                <w:sz w:val="24"/>
                <w:szCs w:val="24"/>
              </w:rPr>
            </w:pPr>
            <w:r>
              <w:rPr>
                <w:rFonts w:hint="eastAsia" w:eastAsia="方正书宋_GBK"/>
                <w:sz w:val="24"/>
                <w:szCs w:val="24"/>
              </w:rPr>
              <w:t>[5]</w:t>
            </w:r>
          </w:p>
        </w:tc>
      </w:tr>
      <w:tr w14:paraId="028B7C7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14:paraId="2EF46ADF">
            <w:pPr>
              <w:rPr>
                <w:rFonts w:hint="eastAsia" w:eastAsia="方正书宋_GBK"/>
                <w:sz w:val="24"/>
                <w:szCs w:val="24"/>
              </w:rPr>
            </w:pPr>
            <w:r>
              <w:rPr>
                <w:rFonts w:hint="eastAsia" w:eastAsia="方正书宋_GBK"/>
                <w:sz w:val="24"/>
                <w:szCs w:val="24"/>
              </w:rPr>
              <w:t>能源绿色转型成效显著</w:t>
            </w:r>
          </w:p>
        </w:tc>
        <w:tc>
          <w:tcPr>
            <w:tcW w:w="2576" w:type="dxa"/>
            <w:noWrap w:val="0"/>
            <w:tcMar>
              <w:left w:w="85" w:type="dxa"/>
              <w:right w:w="85" w:type="dxa"/>
            </w:tcMar>
            <w:vAlign w:val="center"/>
          </w:tcPr>
          <w:p w14:paraId="2C7620D1">
            <w:pPr>
              <w:rPr>
                <w:rFonts w:hint="eastAsia" w:eastAsia="方正书宋_GBK"/>
                <w:sz w:val="24"/>
                <w:szCs w:val="24"/>
              </w:rPr>
            </w:pPr>
            <w:r>
              <w:rPr>
                <w:rFonts w:hint="eastAsia" w:eastAsia="方正书宋_GBK"/>
                <w:sz w:val="24"/>
                <w:szCs w:val="24"/>
              </w:rPr>
              <w:t>非化石能源消费比重</w:t>
            </w:r>
          </w:p>
        </w:tc>
        <w:tc>
          <w:tcPr>
            <w:tcW w:w="1148" w:type="dxa"/>
            <w:noWrap w:val="0"/>
            <w:tcMar>
              <w:left w:w="85" w:type="dxa"/>
              <w:right w:w="85" w:type="dxa"/>
            </w:tcMar>
            <w:vAlign w:val="center"/>
          </w:tcPr>
          <w:p w14:paraId="4E47ECF3">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3EA556ED">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4380DC4A">
            <w:pPr>
              <w:jc w:val="center"/>
              <w:rPr>
                <w:rFonts w:hint="eastAsia" w:eastAsia="方正书宋_GBK"/>
                <w:sz w:val="24"/>
                <w:szCs w:val="24"/>
              </w:rPr>
            </w:pPr>
            <w:r>
              <w:rPr>
                <w:rFonts w:hint="eastAsia" w:eastAsia="方正书宋_GBK"/>
                <w:sz w:val="24"/>
                <w:szCs w:val="24"/>
              </w:rPr>
              <w:t>20.9</w:t>
            </w:r>
          </w:p>
        </w:tc>
        <w:tc>
          <w:tcPr>
            <w:tcW w:w="1120" w:type="dxa"/>
            <w:noWrap w:val="0"/>
            <w:tcMar>
              <w:left w:w="85" w:type="dxa"/>
              <w:right w:w="85" w:type="dxa"/>
            </w:tcMar>
            <w:vAlign w:val="center"/>
          </w:tcPr>
          <w:p w14:paraId="09DE4F48">
            <w:pPr>
              <w:jc w:val="center"/>
              <w:rPr>
                <w:rFonts w:hint="eastAsia" w:eastAsia="方正书宋_GBK"/>
                <w:sz w:val="24"/>
                <w:szCs w:val="24"/>
              </w:rPr>
            </w:pPr>
            <w:r>
              <w:rPr>
                <w:rFonts w:hint="eastAsia" w:eastAsia="方正书宋_GBK"/>
                <w:sz w:val="24"/>
                <w:szCs w:val="24"/>
              </w:rPr>
              <w:t>25</w:t>
            </w:r>
          </w:p>
        </w:tc>
        <w:tc>
          <w:tcPr>
            <w:tcW w:w="924" w:type="dxa"/>
            <w:noWrap w:val="0"/>
            <w:tcMar>
              <w:left w:w="85" w:type="dxa"/>
              <w:right w:w="85" w:type="dxa"/>
            </w:tcMar>
            <w:vAlign w:val="center"/>
          </w:tcPr>
          <w:p w14:paraId="740BBDE3">
            <w:pPr>
              <w:jc w:val="center"/>
              <w:rPr>
                <w:rFonts w:hint="eastAsia" w:eastAsia="方正书宋_GBK"/>
                <w:sz w:val="24"/>
                <w:szCs w:val="24"/>
              </w:rPr>
            </w:pPr>
            <w:r>
              <w:rPr>
                <w:rFonts w:hint="eastAsia" w:eastAsia="方正书宋_GBK"/>
                <w:sz w:val="24"/>
                <w:szCs w:val="24"/>
              </w:rPr>
              <w:t>[4.1]</w:t>
            </w:r>
          </w:p>
        </w:tc>
      </w:tr>
      <w:tr w14:paraId="16757E9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181B254B">
            <w:pPr>
              <w:rPr>
                <w:rFonts w:hint="eastAsia" w:eastAsia="方正书宋_GBK"/>
                <w:sz w:val="24"/>
                <w:szCs w:val="24"/>
              </w:rPr>
            </w:pPr>
          </w:p>
        </w:tc>
        <w:tc>
          <w:tcPr>
            <w:tcW w:w="2576" w:type="dxa"/>
            <w:noWrap w:val="0"/>
            <w:tcMar>
              <w:left w:w="85" w:type="dxa"/>
              <w:right w:w="85" w:type="dxa"/>
            </w:tcMar>
            <w:vAlign w:val="center"/>
          </w:tcPr>
          <w:p w14:paraId="5F997204">
            <w:pPr>
              <w:rPr>
                <w:rFonts w:hint="eastAsia" w:eastAsia="方正书宋_GBK"/>
                <w:sz w:val="24"/>
                <w:szCs w:val="24"/>
              </w:rPr>
            </w:pPr>
            <w:r>
              <w:rPr>
                <w:rFonts w:hint="eastAsia" w:eastAsia="方正书宋_GBK"/>
                <w:sz w:val="24"/>
                <w:szCs w:val="24"/>
              </w:rPr>
              <w:t>煤炭消费比重</w:t>
            </w:r>
          </w:p>
        </w:tc>
        <w:tc>
          <w:tcPr>
            <w:tcW w:w="1148" w:type="dxa"/>
            <w:noWrap w:val="0"/>
            <w:tcMar>
              <w:left w:w="85" w:type="dxa"/>
              <w:right w:w="85" w:type="dxa"/>
            </w:tcMar>
            <w:vAlign w:val="center"/>
          </w:tcPr>
          <w:p w14:paraId="5C1C3CE8">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7D90E60D">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61402E0C">
            <w:pPr>
              <w:jc w:val="center"/>
              <w:rPr>
                <w:rFonts w:hint="eastAsia" w:eastAsia="方正书宋_GBK"/>
                <w:sz w:val="24"/>
                <w:szCs w:val="24"/>
              </w:rPr>
            </w:pPr>
            <w:r>
              <w:rPr>
                <w:rFonts w:hint="eastAsia" w:eastAsia="方正书宋_GBK"/>
                <w:sz w:val="24"/>
                <w:szCs w:val="24"/>
              </w:rPr>
              <w:t>44.3</w:t>
            </w:r>
          </w:p>
        </w:tc>
        <w:tc>
          <w:tcPr>
            <w:tcW w:w="1120" w:type="dxa"/>
            <w:noWrap w:val="0"/>
            <w:tcMar>
              <w:left w:w="85" w:type="dxa"/>
              <w:right w:w="85" w:type="dxa"/>
            </w:tcMar>
            <w:vAlign w:val="center"/>
          </w:tcPr>
          <w:p w14:paraId="0EABD9AB">
            <w:pPr>
              <w:jc w:val="center"/>
              <w:rPr>
                <w:rFonts w:hint="eastAsia" w:eastAsia="方正书宋_GBK"/>
                <w:sz w:val="24"/>
                <w:szCs w:val="24"/>
              </w:rPr>
            </w:pPr>
            <w:r>
              <w:rPr>
                <w:rFonts w:hint="eastAsia" w:eastAsia="方正书宋_GBK"/>
                <w:sz w:val="24"/>
                <w:szCs w:val="24"/>
              </w:rPr>
              <w:t>40</w:t>
            </w:r>
          </w:p>
        </w:tc>
        <w:tc>
          <w:tcPr>
            <w:tcW w:w="924" w:type="dxa"/>
            <w:noWrap w:val="0"/>
            <w:tcMar>
              <w:left w:w="85" w:type="dxa"/>
              <w:right w:w="85" w:type="dxa"/>
            </w:tcMar>
            <w:vAlign w:val="center"/>
          </w:tcPr>
          <w:p w14:paraId="3BEA1830">
            <w:pPr>
              <w:jc w:val="center"/>
              <w:rPr>
                <w:rFonts w:hint="eastAsia" w:eastAsia="方正书宋_GBK"/>
                <w:sz w:val="24"/>
                <w:szCs w:val="24"/>
              </w:rPr>
            </w:pPr>
            <w:r>
              <w:rPr>
                <w:rFonts w:hint="eastAsia" w:eastAsia="方正书宋_GBK"/>
                <w:sz w:val="24"/>
                <w:szCs w:val="24"/>
              </w:rPr>
              <w:t>[-4.3]</w:t>
            </w:r>
          </w:p>
        </w:tc>
      </w:tr>
      <w:tr w14:paraId="201A10A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5F5DACF6">
            <w:pPr>
              <w:rPr>
                <w:rFonts w:hint="eastAsia" w:eastAsia="方正书宋_GBK"/>
                <w:sz w:val="24"/>
                <w:szCs w:val="24"/>
              </w:rPr>
            </w:pPr>
          </w:p>
        </w:tc>
        <w:tc>
          <w:tcPr>
            <w:tcW w:w="2576" w:type="dxa"/>
            <w:noWrap w:val="0"/>
            <w:tcMar>
              <w:left w:w="85" w:type="dxa"/>
              <w:right w:w="85" w:type="dxa"/>
            </w:tcMar>
            <w:vAlign w:val="center"/>
          </w:tcPr>
          <w:p w14:paraId="2EDCBC80">
            <w:pPr>
              <w:rPr>
                <w:rFonts w:hint="eastAsia" w:eastAsia="方正书宋_GBK"/>
                <w:sz w:val="24"/>
                <w:szCs w:val="24"/>
                <w:highlight w:val="yellow"/>
              </w:rPr>
            </w:pPr>
            <w:r>
              <w:rPr>
                <w:rFonts w:hint="eastAsia" w:eastAsia="方正书宋_GBK"/>
                <w:sz w:val="24"/>
                <w:szCs w:val="24"/>
              </w:rPr>
              <w:t>天然气消费比重</w:t>
            </w:r>
          </w:p>
        </w:tc>
        <w:tc>
          <w:tcPr>
            <w:tcW w:w="1148" w:type="dxa"/>
            <w:noWrap w:val="0"/>
            <w:tcMar>
              <w:left w:w="85" w:type="dxa"/>
              <w:right w:w="85" w:type="dxa"/>
            </w:tcMar>
            <w:vAlign w:val="center"/>
          </w:tcPr>
          <w:p w14:paraId="0FAA6563">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3E566542">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2B3D6EC2">
            <w:pPr>
              <w:jc w:val="center"/>
              <w:rPr>
                <w:rFonts w:hint="eastAsia" w:eastAsia="方正书宋_GBK"/>
                <w:sz w:val="24"/>
                <w:szCs w:val="24"/>
              </w:rPr>
            </w:pPr>
            <w:r>
              <w:rPr>
                <w:rFonts w:hint="eastAsia" w:eastAsia="方正书宋_GBK"/>
                <w:sz w:val="24"/>
                <w:szCs w:val="24"/>
              </w:rPr>
              <w:t>15.7</w:t>
            </w:r>
          </w:p>
        </w:tc>
        <w:tc>
          <w:tcPr>
            <w:tcW w:w="1120" w:type="dxa"/>
            <w:noWrap w:val="0"/>
            <w:tcMar>
              <w:left w:w="85" w:type="dxa"/>
              <w:right w:w="85" w:type="dxa"/>
            </w:tcMar>
            <w:vAlign w:val="center"/>
          </w:tcPr>
          <w:p w14:paraId="5C128910">
            <w:pPr>
              <w:jc w:val="center"/>
              <w:rPr>
                <w:rFonts w:hint="eastAsia" w:eastAsia="方正书宋_GBK"/>
                <w:sz w:val="24"/>
                <w:szCs w:val="24"/>
              </w:rPr>
            </w:pPr>
            <w:r>
              <w:rPr>
                <w:rFonts w:hint="eastAsia" w:eastAsia="方正书宋_GBK"/>
                <w:sz w:val="24"/>
                <w:szCs w:val="24"/>
              </w:rPr>
              <w:t>20</w:t>
            </w:r>
          </w:p>
        </w:tc>
        <w:tc>
          <w:tcPr>
            <w:tcW w:w="924" w:type="dxa"/>
            <w:noWrap w:val="0"/>
            <w:tcMar>
              <w:left w:w="85" w:type="dxa"/>
              <w:right w:w="85" w:type="dxa"/>
            </w:tcMar>
            <w:vAlign w:val="center"/>
          </w:tcPr>
          <w:p w14:paraId="3E2FC9D5">
            <w:pPr>
              <w:jc w:val="center"/>
              <w:rPr>
                <w:rFonts w:hint="eastAsia" w:eastAsia="方正书宋_GBK"/>
                <w:sz w:val="24"/>
                <w:szCs w:val="24"/>
              </w:rPr>
            </w:pPr>
            <w:r>
              <w:rPr>
                <w:rFonts w:hint="eastAsia" w:eastAsia="方正书宋_GBK"/>
                <w:sz w:val="24"/>
                <w:szCs w:val="24"/>
              </w:rPr>
              <w:t>[4.3]</w:t>
            </w:r>
          </w:p>
        </w:tc>
      </w:tr>
      <w:tr w14:paraId="498352A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64E27486">
            <w:pPr>
              <w:rPr>
                <w:rFonts w:hint="eastAsia" w:eastAsia="方正书宋_GBK"/>
                <w:sz w:val="24"/>
                <w:szCs w:val="24"/>
              </w:rPr>
            </w:pPr>
          </w:p>
        </w:tc>
        <w:tc>
          <w:tcPr>
            <w:tcW w:w="2576" w:type="dxa"/>
            <w:noWrap w:val="0"/>
            <w:tcMar>
              <w:left w:w="85" w:type="dxa"/>
              <w:right w:w="85" w:type="dxa"/>
            </w:tcMar>
            <w:vAlign w:val="center"/>
          </w:tcPr>
          <w:p w14:paraId="4DE022EF">
            <w:pPr>
              <w:rPr>
                <w:rFonts w:hint="eastAsia" w:eastAsia="方正书宋_GBK"/>
                <w:sz w:val="24"/>
                <w:szCs w:val="24"/>
              </w:rPr>
            </w:pPr>
            <w:r>
              <w:rPr>
                <w:rFonts w:hint="eastAsia" w:eastAsia="方正书宋_GBK"/>
                <w:sz w:val="24"/>
                <w:szCs w:val="24"/>
              </w:rPr>
              <w:t>可再生能源发电装机比重</w:t>
            </w:r>
          </w:p>
        </w:tc>
        <w:tc>
          <w:tcPr>
            <w:tcW w:w="1148" w:type="dxa"/>
            <w:noWrap w:val="0"/>
            <w:tcMar>
              <w:left w:w="85" w:type="dxa"/>
              <w:right w:w="85" w:type="dxa"/>
            </w:tcMar>
            <w:vAlign w:val="center"/>
          </w:tcPr>
          <w:p w14:paraId="5FFD3CFE">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6A2B6089">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1DB44186">
            <w:pPr>
              <w:jc w:val="center"/>
              <w:rPr>
                <w:rFonts w:hint="eastAsia" w:eastAsia="方正书宋_GBK"/>
                <w:sz w:val="24"/>
                <w:szCs w:val="24"/>
              </w:rPr>
            </w:pPr>
            <w:r>
              <w:rPr>
                <w:rFonts w:hint="eastAsia" w:eastAsia="方正书宋_GBK"/>
                <w:sz w:val="24"/>
                <w:szCs w:val="24"/>
              </w:rPr>
              <w:t>37.5</w:t>
            </w:r>
          </w:p>
        </w:tc>
        <w:tc>
          <w:tcPr>
            <w:tcW w:w="1120" w:type="dxa"/>
            <w:noWrap w:val="0"/>
            <w:tcMar>
              <w:left w:w="85" w:type="dxa"/>
              <w:right w:w="85" w:type="dxa"/>
            </w:tcMar>
            <w:vAlign w:val="center"/>
          </w:tcPr>
          <w:p w14:paraId="35E41B6D">
            <w:pPr>
              <w:jc w:val="center"/>
              <w:rPr>
                <w:rFonts w:hint="eastAsia" w:eastAsia="方正书宋_GBK"/>
                <w:sz w:val="24"/>
                <w:szCs w:val="24"/>
              </w:rPr>
            </w:pPr>
            <w:r>
              <w:rPr>
                <w:rFonts w:hint="eastAsia" w:eastAsia="方正书宋_GBK"/>
                <w:sz w:val="24"/>
                <w:szCs w:val="24"/>
              </w:rPr>
              <w:t>37.5</w:t>
            </w:r>
          </w:p>
        </w:tc>
        <w:tc>
          <w:tcPr>
            <w:tcW w:w="924" w:type="dxa"/>
            <w:noWrap w:val="0"/>
            <w:tcMar>
              <w:left w:w="85" w:type="dxa"/>
              <w:right w:w="85" w:type="dxa"/>
            </w:tcMar>
            <w:vAlign w:val="center"/>
          </w:tcPr>
          <w:p w14:paraId="24BBA4FD">
            <w:pPr>
              <w:jc w:val="center"/>
              <w:rPr>
                <w:rFonts w:hint="eastAsia" w:eastAsia="方正书宋_GBK"/>
                <w:sz w:val="24"/>
                <w:szCs w:val="24"/>
              </w:rPr>
            </w:pPr>
          </w:p>
        </w:tc>
      </w:tr>
      <w:tr w14:paraId="54C257A5">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3C6500A6">
            <w:pPr>
              <w:rPr>
                <w:rFonts w:hint="eastAsia" w:eastAsia="方正书宋_GBK"/>
                <w:sz w:val="24"/>
                <w:szCs w:val="24"/>
              </w:rPr>
            </w:pPr>
          </w:p>
        </w:tc>
        <w:tc>
          <w:tcPr>
            <w:tcW w:w="2576" w:type="dxa"/>
            <w:noWrap w:val="0"/>
            <w:tcMar>
              <w:left w:w="85" w:type="dxa"/>
              <w:right w:w="85" w:type="dxa"/>
            </w:tcMar>
            <w:vAlign w:val="center"/>
          </w:tcPr>
          <w:p w14:paraId="6B298104">
            <w:pPr>
              <w:rPr>
                <w:rFonts w:hint="eastAsia" w:eastAsia="方正书宋_GBK"/>
                <w:sz w:val="24"/>
                <w:szCs w:val="24"/>
              </w:rPr>
            </w:pPr>
            <w:r>
              <w:rPr>
                <w:rFonts w:hint="eastAsia" w:eastAsia="方正书宋_GBK"/>
                <w:sz w:val="24"/>
                <w:szCs w:val="24"/>
              </w:rPr>
              <w:t>可再生能源电力消纳总量责任权重</w:t>
            </w:r>
          </w:p>
        </w:tc>
        <w:tc>
          <w:tcPr>
            <w:tcW w:w="1148" w:type="dxa"/>
            <w:noWrap w:val="0"/>
            <w:tcMar>
              <w:left w:w="85" w:type="dxa"/>
              <w:right w:w="85" w:type="dxa"/>
            </w:tcMar>
            <w:vAlign w:val="center"/>
          </w:tcPr>
          <w:p w14:paraId="456175A1">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0B192D64">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14:paraId="351127E0">
            <w:pPr>
              <w:jc w:val="center"/>
              <w:rPr>
                <w:rFonts w:hint="eastAsia" w:eastAsia="方正书宋_GBK"/>
                <w:sz w:val="24"/>
                <w:szCs w:val="24"/>
              </w:rPr>
            </w:pPr>
            <w:r>
              <w:rPr>
                <w:rFonts w:hint="eastAsia" w:eastAsia="方正书宋_GBK"/>
                <w:sz w:val="24"/>
                <w:szCs w:val="24"/>
              </w:rPr>
              <w:t>40.0</w:t>
            </w:r>
          </w:p>
        </w:tc>
        <w:tc>
          <w:tcPr>
            <w:tcW w:w="1120" w:type="dxa"/>
            <w:noWrap w:val="0"/>
            <w:tcMar>
              <w:left w:w="85" w:type="dxa"/>
              <w:right w:w="85" w:type="dxa"/>
            </w:tcMar>
            <w:vAlign w:val="center"/>
          </w:tcPr>
          <w:p w14:paraId="169F6526">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14:paraId="48EED924">
            <w:pPr>
              <w:jc w:val="center"/>
              <w:rPr>
                <w:rFonts w:hint="eastAsia" w:eastAsia="方正书宋_GBK"/>
                <w:sz w:val="24"/>
                <w:szCs w:val="24"/>
              </w:rPr>
            </w:pPr>
          </w:p>
        </w:tc>
      </w:tr>
      <w:tr w14:paraId="277750A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15A76DAD">
            <w:pPr>
              <w:rPr>
                <w:rFonts w:hint="eastAsia" w:eastAsia="方正书宋_GBK"/>
                <w:sz w:val="24"/>
                <w:szCs w:val="24"/>
              </w:rPr>
            </w:pPr>
          </w:p>
        </w:tc>
        <w:tc>
          <w:tcPr>
            <w:tcW w:w="2576" w:type="dxa"/>
            <w:noWrap w:val="0"/>
            <w:tcMar>
              <w:left w:w="85" w:type="dxa"/>
              <w:right w:w="85" w:type="dxa"/>
            </w:tcMar>
            <w:vAlign w:val="center"/>
          </w:tcPr>
          <w:p w14:paraId="0925D0CE">
            <w:pPr>
              <w:rPr>
                <w:rFonts w:hint="eastAsia" w:eastAsia="方正书宋_GBK"/>
                <w:sz w:val="24"/>
                <w:szCs w:val="24"/>
              </w:rPr>
            </w:pPr>
            <w:r>
              <w:rPr>
                <w:rFonts w:hint="eastAsia" w:eastAsia="方正书宋_GBK"/>
                <w:sz w:val="24"/>
                <w:szCs w:val="24"/>
              </w:rPr>
              <w:t>可再生能源电力消纳非水电责任权重</w:t>
            </w:r>
          </w:p>
        </w:tc>
        <w:tc>
          <w:tcPr>
            <w:tcW w:w="1148" w:type="dxa"/>
            <w:noWrap w:val="0"/>
            <w:tcMar>
              <w:left w:w="85" w:type="dxa"/>
              <w:right w:w="85" w:type="dxa"/>
            </w:tcMar>
            <w:vAlign w:val="center"/>
          </w:tcPr>
          <w:p w14:paraId="2E48E958">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483CA4EB">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14:paraId="4714F2FB">
            <w:pPr>
              <w:jc w:val="center"/>
              <w:rPr>
                <w:rFonts w:hint="eastAsia" w:eastAsia="方正书宋_GBK"/>
                <w:sz w:val="24"/>
                <w:szCs w:val="24"/>
              </w:rPr>
            </w:pPr>
            <w:r>
              <w:rPr>
                <w:rFonts w:hint="eastAsia" w:eastAsia="方正书宋_GBK"/>
                <w:sz w:val="24"/>
                <w:szCs w:val="24"/>
              </w:rPr>
              <w:t>3.5</w:t>
            </w:r>
          </w:p>
        </w:tc>
        <w:tc>
          <w:tcPr>
            <w:tcW w:w="1120" w:type="dxa"/>
            <w:noWrap w:val="0"/>
            <w:tcMar>
              <w:left w:w="85" w:type="dxa"/>
              <w:right w:w="85" w:type="dxa"/>
            </w:tcMar>
            <w:vAlign w:val="center"/>
          </w:tcPr>
          <w:p w14:paraId="0E470FC7">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14:paraId="11828321">
            <w:pPr>
              <w:jc w:val="center"/>
              <w:rPr>
                <w:rFonts w:hint="eastAsia" w:eastAsia="方正书宋_GBK"/>
                <w:sz w:val="24"/>
                <w:szCs w:val="24"/>
              </w:rPr>
            </w:pPr>
          </w:p>
        </w:tc>
      </w:tr>
      <w:tr w14:paraId="27CE32E3">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13319FA3">
            <w:pPr>
              <w:rPr>
                <w:rFonts w:hint="eastAsia" w:eastAsia="方正书宋_GBK"/>
                <w:sz w:val="24"/>
                <w:szCs w:val="24"/>
              </w:rPr>
            </w:pPr>
          </w:p>
        </w:tc>
        <w:tc>
          <w:tcPr>
            <w:tcW w:w="2576" w:type="dxa"/>
            <w:noWrap w:val="0"/>
            <w:tcMar>
              <w:left w:w="85" w:type="dxa"/>
              <w:right w:w="85" w:type="dxa"/>
            </w:tcMar>
            <w:vAlign w:val="center"/>
          </w:tcPr>
          <w:p w14:paraId="3C1A3EE6">
            <w:pPr>
              <w:rPr>
                <w:rFonts w:hint="eastAsia" w:eastAsia="方正书宋_GBK"/>
                <w:sz w:val="24"/>
                <w:szCs w:val="24"/>
              </w:rPr>
            </w:pPr>
            <w:r>
              <w:rPr>
                <w:rFonts w:hint="eastAsia" w:eastAsia="方正书宋_GBK"/>
                <w:sz w:val="24"/>
                <w:szCs w:val="24"/>
              </w:rPr>
              <w:t>单位GDP二氧化碳排放下降率</w:t>
            </w:r>
          </w:p>
        </w:tc>
        <w:tc>
          <w:tcPr>
            <w:tcW w:w="1148" w:type="dxa"/>
            <w:noWrap w:val="0"/>
            <w:tcMar>
              <w:left w:w="85" w:type="dxa"/>
              <w:right w:w="85" w:type="dxa"/>
            </w:tcMar>
            <w:vAlign w:val="center"/>
          </w:tcPr>
          <w:p w14:paraId="418F3AD0">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0FEF7CBE">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14:paraId="606A299E">
            <w:pPr>
              <w:jc w:val="center"/>
              <w:rPr>
                <w:rFonts w:hint="eastAsia" w:eastAsia="方正书宋_GBK"/>
                <w:sz w:val="24"/>
                <w:szCs w:val="24"/>
              </w:rPr>
            </w:pPr>
            <w:r>
              <w:rPr>
                <w:rFonts w:hint="eastAsia" w:eastAsia="方正书宋_GBK"/>
                <w:sz w:val="24"/>
                <w:szCs w:val="24"/>
              </w:rPr>
              <w:t>—</w:t>
            </w:r>
          </w:p>
        </w:tc>
        <w:tc>
          <w:tcPr>
            <w:tcW w:w="1120" w:type="dxa"/>
            <w:noWrap w:val="0"/>
            <w:tcMar>
              <w:left w:w="85" w:type="dxa"/>
              <w:right w:w="85" w:type="dxa"/>
            </w:tcMar>
            <w:vAlign w:val="center"/>
          </w:tcPr>
          <w:p w14:paraId="641285C3">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14:paraId="6C426BA3">
            <w:pPr>
              <w:jc w:val="center"/>
              <w:rPr>
                <w:rFonts w:hint="eastAsia" w:eastAsia="方正书宋_GBK"/>
                <w:sz w:val="24"/>
                <w:szCs w:val="24"/>
              </w:rPr>
            </w:pPr>
          </w:p>
        </w:tc>
      </w:tr>
      <w:tr w14:paraId="20E4569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14:paraId="4716C6C6">
            <w:pPr>
              <w:rPr>
                <w:rFonts w:hint="eastAsia" w:eastAsia="方正书宋_GBK"/>
                <w:sz w:val="24"/>
                <w:szCs w:val="24"/>
              </w:rPr>
            </w:pPr>
            <w:r>
              <w:rPr>
                <w:rFonts w:hint="eastAsia" w:eastAsia="方正书宋_GBK"/>
                <w:sz w:val="24"/>
                <w:szCs w:val="24"/>
              </w:rPr>
              <w:t>能源利用效率大幅提高</w:t>
            </w:r>
          </w:p>
        </w:tc>
        <w:tc>
          <w:tcPr>
            <w:tcW w:w="2576" w:type="dxa"/>
            <w:noWrap w:val="0"/>
            <w:tcMar>
              <w:left w:w="85" w:type="dxa"/>
              <w:right w:w="85" w:type="dxa"/>
            </w:tcMar>
            <w:vAlign w:val="center"/>
          </w:tcPr>
          <w:p w14:paraId="391596FF">
            <w:pPr>
              <w:rPr>
                <w:rFonts w:hint="eastAsia" w:eastAsia="方正书宋_GBK"/>
                <w:sz w:val="24"/>
                <w:szCs w:val="24"/>
              </w:rPr>
            </w:pPr>
            <w:r>
              <w:rPr>
                <w:rFonts w:hint="eastAsia" w:eastAsia="方正书宋_GBK"/>
                <w:sz w:val="24"/>
                <w:szCs w:val="24"/>
              </w:rPr>
              <w:t>单位GDP能耗下降率</w:t>
            </w:r>
          </w:p>
        </w:tc>
        <w:tc>
          <w:tcPr>
            <w:tcW w:w="1148" w:type="dxa"/>
            <w:noWrap w:val="0"/>
            <w:tcMar>
              <w:left w:w="85" w:type="dxa"/>
              <w:right w:w="85" w:type="dxa"/>
            </w:tcMar>
            <w:vAlign w:val="center"/>
          </w:tcPr>
          <w:p w14:paraId="60D7E37A">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319A836D">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14:paraId="5BA37A95">
            <w:pPr>
              <w:jc w:val="center"/>
              <w:rPr>
                <w:rFonts w:hint="eastAsia" w:eastAsia="方正书宋_GBK"/>
                <w:sz w:val="24"/>
                <w:szCs w:val="24"/>
              </w:rPr>
            </w:pPr>
            <w:r>
              <w:rPr>
                <w:rFonts w:hint="eastAsia" w:eastAsia="方正书宋_GBK"/>
                <w:sz w:val="24"/>
                <w:szCs w:val="24"/>
              </w:rPr>
              <w:t>—</w:t>
            </w:r>
          </w:p>
        </w:tc>
        <w:tc>
          <w:tcPr>
            <w:tcW w:w="1120" w:type="dxa"/>
            <w:noWrap w:val="0"/>
            <w:tcMar>
              <w:left w:w="85" w:type="dxa"/>
              <w:right w:w="85" w:type="dxa"/>
            </w:tcMar>
            <w:vAlign w:val="center"/>
          </w:tcPr>
          <w:p w14:paraId="2AD3E62D">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14:paraId="56DDEEF2">
            <w:pPr>
              <w:jc w:val="center"/>
              <w:rPr>
                <w:rFonts w:hint="eastAsia" w:eastAsia="方正书宋_GBK"/>
                <w:sz w:val="24"/>
                <w:szCs w:val="24"/>
              </w:rPr>
            </w:pPr>
          </w:p>
        </w:tc>
      </w:tr>
      <w:tr w14:paraId="01C2DC2E">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2DBBE1AE">
            <w:pPr>
              <w:rPr>
                <w:rFonts w:hint="eastAsia" w:eastAsia="方正书宋_GBK"/>
                <w:sz w:val="24"/>
                <w:szCs w:val="24"/>
              </w:rPr>
            </w:pPr>
          </w:p>
        </w:tc>
        <w:tc>
          <w:tcPr>
            <w:tcW w:w="2576" w:type="dxa"/>
            <w:noWrap w:val="0"/>
            <w:tcMar>
              <w:left w:w="85" w:type="dxa"/>
              <w:right w:w="85" w:type="dxa"/>
            </w:tcMar>
            <w:vAlign w:val="center"/>
          </w:tcPr>
          <w:p w14:paraId="376ABAC0">
            <w:pPr>
              <w:rPr>
                <w:rFonts w:hint="eastAsia" w:eastAsia="方正书宋_GBK"/>
                <w:sz w:val="24"/>
                <w:szCs w:val="24"/>
              </w:rPr>
            </w:pPr>
            <w:r>
              <w:rPr>
                <w:rFonts w:hint="eastAsia" w:eastAsia="方正书宋_GBK"/>
                <w:sz w:val="24"/>
                <w:szCs w:val="24"/>
              </w:rPr>
              <w:t>煤电供电煤耗</w:t>
            </w:r>
          </w:p>
        </w:tc>
        <w:tc>
          <w:tcPr>
            <w:tcW w:w="1148" w:type="dxa"/>
            <w:noWrap w:val="0"/>
            <w:tcMar>
              <w:left w:w="85" w:type="dxa"/>
              <w:right w:w="85" w:type="dxa"/>
            </w:tcMar>
            <w:vAlign w:val="center"/>
          </w:tcPr>
          <w:p w14:paraId="450B6C5D">
            <w:pPr>
              <w:jc w:val="center"/>
              <w:rPr>
                <w:rFonts w:hint="eastAsia" w:eastAsia="方正书宋_GBK"/>
                <w:spacing w:val="-4"/>
                <w:sz w:val="24"/>
                <w:szCs w:val="24"/>
              </w:rPr>
            </w:pPr>
            <w:r>
              <w:rPr>
                <w:rFonts w:hint="eastAsia" w:eastAsia="方正书宋_GBK"/>
                <w:spacing w:val="-4"/>
                <w:sz w:val="24"/>
                <w:szCs w:val="24"/>
              </w:rPr>
              <w:t>克/千瓦时</w:t>
            </w:r>
          </w:p>
        </w:tc>
        <w:tc>
          <w:tcPr>
            <w:tcW w:w="951" w:type="dxa"/>
            <w:noWrap w:val="0"/>
            <w:tcMar>
              <w:left w:w="85" w:type="dxa"/>
              <w:right w:w="85" w:type="dxa"/>
            </w:tcMar>
            <w:vAlign w:val="center"/>
          </w:tcPr>
          <w:p w14:paraId="16BD0A1A">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6AB60DB9">
            <w:pPr>
              <w:jc w:val="center"/>
              <w:rPr>
                <w:rFonts w:hint="eastAsia" w:eastAsia="方正书宋_GBK"/>
                <w:sz w:val="24"/>
                <w:szCs w:val="24"/>
              </w:rPr>
            </w:pPr>
            <w:r>
              <w:rPr>
                <w:rFonts w:hint="eastAsia" w:eastAsia="方正书宋_GBK"/>
                <w:sz w:val="24"/>
                <w:szCs w:val="24"/>
              </w:rPr>
              <w:t>311</w:t>
            </w:r>
          </w:p>
        </w:tc>
        <w:tc>
          <w:tcPr>
            <w:tcW w:w="1120" w:type="dxa"/>
            <w:noWrap w:val="0"/>
            <w:tcMar>
              <w:left w:w="85" w:type="dxa"/>
              <w:right w:w="85" w:type="dxa"/>
            </w:tcMar>
            <w:vAlign w:val="center"/>
          </w:tcPr>
          <w:p w14:paraId="64510DA6">
            <w:pPr>
              <w:jc w:val="center"/>
              <w:rPr>
                <w:rFonts w:hint="eastAsia" w:eastAsia="方正书宋_GBK"/>
                <w:sz w:val="24"/>
                <w:szCs w:val="24"/>
              </w:rPr>
            </w:pPr>
            <w:r>
              <w:rPr>
                <w:rFonts w:hint="eastAsia" w:eastAsia="方正书宋_GBK"/>
                <w:sz w:val="24"/>
                <w:szCs w:val="24"/>
              </w:rPr>
              <w:t>＜300</w:t>
            </w:r>
          </w:p>
        </w:tc>
        <w:tc>
          <w:tcPr>
            <w:tcW w:w="924" w:type="dxa"/>
            <w:noWrap w:val="0"/>
            <w:tcMar>
              <w:left w:w="85" w:type="dxa"/>
              <w:right w:w="85" w:type="dxa"/>
            </w:tcMar>
            <w:vAlign w:val="center"/>
          </w:tcPr>
          <w:p w14:paraId="53BEFAED">
            <w:pPr>
              <w:jc w:val="center"/>
              <w:rPr>
                <w:rFonts w:hint="eastAsia" w:eastAsia="方正书宋_GBK"/>
                <w:sz w:val="24"/>
                <w:szCs w:val="24"/>
              </w:rPr>
            </w:pPr>
          </w:p>
        </w:tc>
      </w:tr>
      <w:tr w14:paraId="33A9919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13954528">
            <w:pPr>
              <w:rPr>
                <w:rFonts w:hint="eastAsia" w:eastAsia="方正书宋_GBK"/>
                <w:sz w:val="24"/>
                <w:szCs w:val="24"/>
              </w:rPr>
            </w:pPr>
          </w:p>
        </w:tc>
        <w:tc>
          <w:tcPr>
            <w:tcW w:w="2576" w:type="dxa"/>
            <w:noWrap w:val="0"/>
            <w:tcMar>
              <w:left w:w="85" w:type="dxa"/>
              <w:right w:w="85" w:type="dxa"/>
            </w:tcMar>
            <w:vAlign w:val="center"/>
          </w:tcPr>
          <w:p w14:paraId="32417A40">
            <w:pPr>
              <w:rPr>
                <w:rFonts w:hint="eastAsia" w:eastAsia="方正书宋_GBK"/>
                <w:sz w:val="24"/>
                <w:szCs w:val="24"/>
              </w:rPr>
            </w:pPr>
            <w:r>
              <w:rPr>
                <w:rFonts w:hint="eastAsia" w:eastAsia="方正书宋_GBK"/>
                <w:sz w:val="24"/>
                <w:szCs w:val="24"/>
              </w:rPr>
              <w:t>电网综合线损率</w:t>
            </w:r>
          </w:p>
        </w:tc>
        <w:tc>
          <w:tcPr>
            <w:tcW w:w="1148" w:type="dxa"/>
            <w:noWrap w:val="0"/>
            <w:tcMar>
              <w:left w:w="85" w:type="dxa"/>
              <w:right w:w="85" w:type="dxa"/>
            </w:tcMar>
            <w:vAlign w:val="center"/>
          </w:tcPr>
          <w:p w14:paraId="3675F27E">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05A011A8">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2104859F">
            <w:pPr>
              <w:jc w:val="center"/>
              <w:rPr>
                <w:rFonts w:hint="eastAsia" w:eastAsia="方正书宋_GBK"/>
                <w:sz w:val="24"/>
                <w:szCs w:val="24"/>
              </w:rPr>
            </w:pPr>
            <w:r>
              <w:rPr>
                <w:rFonts w:hint="eastAsia" w:eastAsia="方正书宋_GBK"/>
                <w:sz w:val="24"/>
                <w:szCs w:val="24"/>
              </w:rPr>
              <w:t>5.2</w:t>
            </w:r>
          </w:p>
        </w:tc>
        <w:tc>
          <w:tcPr>
            <w:tcW w:w="1120" w:type="dxa"/>
            <w:noWrap w:val="0"/>
            <w:tcMar>
              <w:left w:w="85" w:type="dxa"/>
              <w:right w:w="85" w:type="dxa"/>
            </w:tcMar>
            <w:vAlign w:val="center"/>
          </w:tcPr>
          <w:p w14:paraId="4CEFEB2C">
            <w:pPr>
              <w:jc w:val="center"/>
              <w:rPr>
                <w:rFonts w:hint="eastAsia" w:eastAsia="方正书宋_GBK"/>
                <w:sz w:val="24"/>
                <w:szCs w:val="24"/>
              </w:rPr>
            </w:pPr>
            <w:r>
              <w:rPr>
                <w:rFonts w:hint="eastAsia" w:eastAsia="方正书宋_GBK"/>
                <w:sz w:val="24"/>
                <w:szCs w:val="24"/>
              </w:rPr>
              <w:t>4.8</w:t>
            </w:r>
          </w:p>
        </w:tc>
        <w:tc>
          <w:tcPr>
            <w:tcW w:w="924" w:type="dxa"/>
            <w:noWrap w:val="0"/>
            <w:tcMar>
              <w:left w:w="85" w:type="dxa"/>
              <w:right w:w="85" w:type="dxa"/>
            </w:tcMar>
            <w:vAlign w:val="center"/>
          </w:tcPr>
          <w:p w14:paraId="206856BC">
            <w:pPr>
              <w:jc w:val="center"/>
              <w:rPr>
                <w:rFonts w:hint="eastAsia" w:eastAsia="方正书宋_GBK"/>
                <w:sz w:val="24"/>
                <w:szCs w:val="24"/>
              </w:rPr>
            </w:pPr>
            <w:r>
              <w:rPr>
                <w:rFonts w:hint="eastAsia" w:eastAsia="方正书宋_GBK"/>
                <w:sz w:val="24"/>
                <w:szCs w:val="24"/>
              </w:rPr>
              <w:t>[-0.4]</w:t>
            </w:r>
          </w:p>
        </w:tc>
      </w:tr>
      <w:tr w14:paraId="12BF99B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12EC5982">
            <w:pPr>
              <w:rPr>
                <w:rFonts w:hint="eastAsia" w:eastAsia="方正书宋_GBK"/>
                <w:sz w:val="24"/>
                <w:szCs w:val="24"/>
              </w:rPr>
            </w:pPr>
          </w:p>
        </w:tc>
        <w:tc>
          <w:tcPr>
            <w:tcW w:w="2576" w:type="dxa"/>
            <w:noWrap w:val="0"/>
            <w:tcMar>
              <w:left w:w="85" w:type="dxa"/>
              <w:right w:w="85" w:type="dxa"/>
            </w:tcMar>
            <w:vAlign w:val="center"/>
          </w:tcPr>
          <w:p w14:paraId="52637F36">
            <w:pPr>
              <w:rPr>
                <w:rFonts w:hint="eastAsia" w:eastAsia="方正书宋_GBK"/>
                <w:sz w:val="24"/>
                <w:szCs w:val="24"/>
              </w:rPr>
            </w:pPr>
            <w:r>
              <w:rPr>
                <w:rFonts w:hint="eastAsia" w:eastAsia="方正书宋_GBK"/>
                <w:sz w:val="24"/>
                <w:szCs w:val="24"/>
              </w:rPr>
              <w:t>配电网供电可靠率</w:t>
            </w:r>
          </w:p>
        </w:tc>
        <w:tc>
          <w:tcPr>
            <w:tcW w:w="1148" w:type="dxa"/>
            <w:noWrap w:val="0"/>
            <w:tcMar>
              <w:left w:w="85" w:type="dxa"/>
              <w:right w:w="85" w:type="dxa"/>
            </w:tcMar>
            <w:vAlign w:val="center"/>
          </w:tcPr>
          <w:p w14:paraId="03458EA5">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6A4CD4C6">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0DABC4BA">
            <w:pPr>
              <w:jc w:val="center"/>
              <w:rPr>
                <w:rFonts w:hint="eastAsia" w:eastAsia="方正书宋_GBK"/>
                <w:sz w:val="24"/>
                <w:szCs w:val="24"/>
              </w:rPr>
            </w:pPr>
            <w:r>
              <w:rPr>
                <w:rFonts w:hint="eastAsia" w:eastAsia="方正书宋_GBK"/>
                <w:sz w:val="24"/>
                <w:szCs w:val="24"/>
              </w:rPr>
              <w:t>99.868</w:t>
            </w:r>
          </w:p>
        </w:tc>
        <w:tc>
          <w:tcPr>
            <w:tcW w:w="1120" w:type="dxa"/>
            <w:noWrap w:val="0"/>
            <w:tcMar>
              <w:left w:w="85" w:type="dxa"/>
              <w:right w:w="85" w:type="dxa"/>
            </w:tcMar>
            <w:vAlign w:val="center"/>
          </w:tcPr>
          <w:p w14:paraId="62538605">
            <w:pPr>
              <w:jc w:val="center"/>
              <w:rPr>
                <w:rFonts w:hint="eastAsia" w:eastAsia="方正书宋_GBK"/>
                <w:sz w:val="24"/>
                <w:szCs w:val="24"/>
              </w:rPr>
            </w:pPr>
            <w:r>
              <w:rPr>
                <w:rFonts w:hint="eastAsia" w:eastAsia="方正书宋_GBK"/>
                <w:sz w:val="24"/>
                <w:szCs w:val="24"/>
              </w:rPr>
              <w:t>99.893</w:t>
            </w:r>
          </w:p>
        </w:tc>
        <w:tc>
          <w:tcPr>
            <w:tcW w:w="924" w:type="dxa"/>
            <w:noWrap w:val="0"/>
            <w:tcMar>
              <w:left w:w="85" w:type="dxa"/>
              <w:right w:w="85" w:type="dxa"/>
            </w:tcMar>
            <w:vAlign w:val="center"/>
          </w:tcPr>
          <w:p w14:paraId="544A3091">
            <w:pPr>
              <w:jc w:val="center"/>
              <w:rPr>
                <w:rFonts w:hint="eastAsia" w:eastAsia="方正书宋_GBK"/>
                <w:sz w:val="24"/>
                <w:szCs w:val="24"/>
              </w:rPr>
            </w:pPr>
            <w:r>
              <w:rPr>
                <w:rFonts w:hint="eastAsia" w:eastAsia="方正书宋_GBK"/>
                <w:sz w:val="24"/>
                <w:szCs w:val="24"/>
              </w:rPr>
              <w:t>[0.025]</w:t>
            </w:r>
          </w:p>
        </w:tc>
      </w:tr>
      <w:tr w14:paraId="5106D64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14:paraId="069F7793">
            <w:pPr>
              <w:rPr>
                <w:rFonts w:hint="eastAsia" w:eastAsia="方正书宋_GBK"/>
                <w:sz w:val="24"/>
                <w:szCs w:val="24"/>
              </w:rPr>
            </w:pPr>
            <w:r>
              <w:rPr>
                <w:rFonts w:hint="eastAsia" w:eastAsia="方正书宋_GBK"/>
                <w:sz w:val="24"/>
                <w:szCs w:val="24"/>
              </w:rPr>
              <w:t>普遍服务水平持续提升</w:t>
            </w:r>
          </w:p>
        </w:tc>
        <w:tc>
          <w:tcPr>
            <w:tcW w:w="2576" w:type="dxa"/>
            <w:noWrap w:val="0"/>
            <w:tcMar>
              <w:left w:w="85" w:type="dxa"/>
              <w:right w:w="85" w:type="dxa"/>
            </w:tcMar>
            <w:vAlign w:val="center"/>
          </w:tcPr>
          <w:p w14:paraId="2D18E0E0">
            <w:pPr>
              <w:rPr>
                <w:rFonts w:hint="eastAsia" w:eastAsia="方正书宋_GBK"/>
                <w:sz w:val="24"/>
                <w:szCs w:val="24"/>
              </w:rPr>
            </w:pPr>
            <w:r>
              <w:rPr>
                <w:rFonts w:hint="eastAsia" w:eastAsia="方正书宋_GBK"/>
                <w:sz w:val="24"/>
                <w:szCs w:val="24"/>
              </w:rPr>
              <w:t>居民人均生活用电量</w:t>
            </w:r>
          </w:p>
        </w:tc>
        <w:tc>
          <w:tcPr>
            <w:tcW w:w="1148" w:type="dxa"/>
            <w:noWrap w:val="0"/>
            <w:tcMar>
              <w:left w:w="85" w:type="dxa"/>
              <w:right w:w="85" w:type="dxa"/>
            </w:tcMar>
            <w:vAlign w:val="center"/>
          </w:tcPr>
          <w:p w14:paraId="054B233E">
            <w:pPr>
              <w:jc w:val="center"/>
              <w:rPr>
                <w:rFonts w:hint="eastAsia" w:eastAsia="方正书宋_GBK"/>
                <w:sz w:val="24"/>
                <w:szCs w:val="24"/>
              </w:rPr>
            </w:pPr>
            <w:r>
              <w:rPr>
                <w:rFonts w:hint="eastAsia" w:eastAsia="方正书宋_GBK"/>
                <w:sz w:val="24"/>
                <w:szCs w:val="24"/>
              </w:rPr>
              <w:t>千瓦时</w:t>
            </w:r>
          </w:p>
        </w:tc>
        <w:tc>
          <w:tcPr>
            <w:tcW w:w="951" w:type="dxa"/>
            <w:noWrap w:val="0"/>
            <w:tcMar>
              <w:left w:w="85" w:type="dxa"/>
              <w:right w:w="85" w:type="dxa"/>
            </w:tcMar>
            <w:vAlign w:val="center"/>
          </w:tcPr>
          <w:p w14:paraId="707683D3">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1C1A11E9">
            <w:pPr>
              <w:jc w:val="center"/>
              <w:rPr>
                <w:rFonts w:hint="eastAsia" w:eastAsia="方正书宋_GBK"/>
                <w:sz w:val="24"/>
                <w:szCs w:val="24"/>
              </w:rPr>
            </w:pPr>
            <w:r>
              <w:rPr>
                <w:rFonts w:hint="eastAsia" w:eastAsia="方正书宋_GBK"/>
                <w:sz w:val="24"/>
                <w:szCs w:val="24"/>
              </w:rPr>
              <w:t>689</w:t>
            </w:r>
          </w:p>
        </w:tc>
        <w:tc>
          <w:tcPr>
            <w:tcW w:w="1120" w:type="dxa"/>
            <w:noWrap w:val="0"/>
            <w:tcMar>
              <w:left w:w="85" w:type="dxa"/>
              <w:right w:w="85" w:type="dxa"/>
            </w:tcMar>
            <w:vAlign w:val="center"/>
          </w:tcPr>
          <w:p w14:paraId="3BBCFEF1">
            <w:pPr>
              <w:jc w:val="center"/>
              <w:rPr>
                <w:rFonts w:hint="eastAsia" w:eastAsia="方正书宋_GBK"/>
                <w:sz w:val="24"/>
                <w:szCs w:val="24"/>
              </w:rPr>
            </w:pPr>
            <w:r>
              <w:rPr>
                <w:rFonts w:hint="eastAsia" w:eastAsia="方正书宋_GBK"/>
                <w:sz w:val="24"/>
                <w:szCs w:val="24"/>
              </w:rPr>
              <w:t>900</w:t>
            </w:r>
          </w:p>
        </w:tc>
        <w:tc>
          <w:tcPr>
            <w:tcW w:w="924" w:type="dxa"/>
            <w:noWrap w:val="0"/>
            <w:tcMar>
              <w:left w:w="85" w:type="dxa"/>
              <w:right w:w="85" w:type="dxa"/>
            </w:tcMar>
            <w:vAlign w:val="center"/>
          </w:tcPr>
          <w:p w14:paraId="40E3E485">
            <w:pPr>
              <w:jc w:val="center"/>
              <w:rPr>
                <w:rFonts w:hint="eastAsia" w:eastAsia="方正书宋_GBK"/>
                <w:sz w:val="24"/>
                <w:szCs w:val="24"/>
              </w:rPr>
            </w:pPr>
            <w:r>
              <w:rPr>
                <w:rFonts w:hint="eastAsia" w:eastAsia="方正书宋_GBK"/>
                <w:sz w:val="24"/>
                <w:szCs w:val="24"/>
              </w:rPr>
              <w:t>5.5</w:t>
            </w:r>
          </w:p>
        </w:tc>
      </w:tr>
      <w:tr w14:paraId="4910E82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5A9ED46C">
            <w:pPr>
              <w:jc w:val="center"/>
              <w:rPr>
                <w:rFonts w:hint="eastAsia" w:eastAsia="方正书宋_GBK"/>
                <w:sz w:val="24"/>
                <w:szCs w:val="24"/>
              </w:rPr>
            </w:pPr>
          </w:p>
        </w:tc>
        <w:tc>
          <w:tcPr>
            <w:tcW w:w="2576" w:type="dxa"/>
            <w:noWrap w:val="0"/>
            <w:tcMar>
              <w:left w:w="85" w:type="dxa"/>
              <w:right w:w="85" w:type="dxa"/>
            </w:tcMar>
            <w:vAlign w:val="center"/>
          </w:tcPr>
          <w:p w14:paraId="1319DF93">
            <w:pPr>
              <w:rPr>
                <w:rFonts w:hint="eastAsia" w:eastAsia="方正书宋_GBK"/>
                <w:sz w:val="24"/>
                <w:szCs w:val="24"/>
              </w:rPr>
            </w:pPr>
            <w:r>
              <w:rPr>
                <w:rFonts w:hint="eastAsia" w:eastAsia="方正书宋_GBK"/>
                <w:sz w:val="24"/>
                <w:szCs w:val="24"/>
              </w:rPr>
              <w:t>城镇居民天然气普及率</w:t>
            </w:r>
          </w:p>
        </w:tc>
        <w:tc>
          <w:tcPr>
            <w:tcW w:w="1148" w:type="dxa"/>
            <w:noWrap w:val="0"/>
            <w:tcMar>
              <w:left w:w="85" w:type="dxa"/>
              <w:right w:w="85" w:type="dxa"/>
            </w:tcMar>
            <w:vAlign w:val="center"/>
          </w:tcPr>
          <w:p w14:paraId="4AA73A09">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7DD9B3F9">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6354F0B2">
            <w:pPr>
              <w:jc w:val="center"/>
              <w:rPr>
                <w:rFonts w:hint="eastAsia" w:eastAsia="方正书宋_GBK"/>
                <w:sz w:val="24"/>
                <w:szCs w:val="24"/>
              </w:rPr>
            </w:pPr>
            <w:r>
              <w:rPr>
                <w:rFonts w:hint="eastAsia" w:eastAsia="方正书宋_GBK"/>
                <w:sz w:val="24"/>
                <w:szCs w:val="24"/>
              </w:rPr>
              <w:t>98.5</w:t>
            </w:r>
          </w:p>
        </w:tc>
        <w:tc>
          <w:tcPr>
            <w:tcW w:w="1120" w:type="dxa"/>
            <w:noWrap w:val="0"/>
            <w:tcMar>
              <w:left w:w="85" w:type="dxa"/>
              <w:right w:w="85" w:type="dxa"/>
            </w:tcMar>
            <w:vAlign w:val="center"/>
          </w:tcPr>
          <w:p w14:paraId="0390218C">
            <w:pPr>
              <w:jc w:val="center"/>
              <w:rPr>
                <w:rFonts w:hint="eastAsia" w:eastAsia="方正书宋_GBK"/>
                <w:sz w:val="24"/>
                <w:szCs w:val="24"/>
              </w:rPr>
            </w:pPr>
            <w:r>
              <w:rPr>
                <w:rFonts w:hint="eastAsia" w:eastAsia="方正书宋_GBK"/>
                <w:sz w:val="24"/>
                <w:szCs w:val="24"/>
              </w:rPr>
              <w:t>99.0</w:t>
            </w:r>
          </w:p>
        </w:tc>
        <w:tc>
          <w:tcPr>
            <w:tcW w:w="924" w:type="dxa"/>
            <w:noWrap w:val="0"/>
            <w:tcMar>
              <w:left w:w="85" w:type="dxa"/>
              <w:right w:w="85" w:type="dxa"/>
            </w:tcMar>
            <w:vAlign w:val="center"/>
          </w:tcPr>
          <w:p w14:paraId="2C63603C">
            <w:pPr>
              <w:jc w:val="center"/>
              <w:rPr>
                <w:rFonts w:hint="eastAsia" w:eastAsia="方正书宋_GBK"/>
                <w:sz w:val="24"/>
                <w:szCs w:val="24"/>
              </w:rPr>
            </w:pPr>
            <w:r>
              <w:rPr>
                <w:rFonts w:hint="eastAsia" w:eastAsia="方正书宋_GBK"/>
                <w:sz w:val="24"/>
                <w:szCs w:val="24"/>
              </w:rPr>
              <w:t>[0.5]</w:t>
            </w:r>
          </w:p>
        </w:tc>
      </w:tr>
      <w:tr w14:paraId="45244EA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7EAC170F">
            <w:pPr>
              <w:jc w:val="center"/>
              <w:rPr>
                <w:rFonts w:hint="eastAsia" w:eastAsia="方正书宋_GBK"/>
                <w:sz w:val="24"/>
                <w:szCs w:val="24"/>
              </w:rPr>
            </w:pPr>
          </w:p>
        </w:tc>
        <w:tc>
          <w:tcPr>
            <w:tcW w:w="2576" w:type="dxa"/>
            <w:noWrap w:val="0"/>
            <w:tcMar>
              <w:left w:w="85" w:type="dxa"/>
              <w:right w:w="85" w:type="dxa"/>
            </w:tcMar>
            <w:vAlign w:val="center"/>
          </w:tcPr>
          <w:p w14:paraId="5FFD6073">
            <w:pPr>
              <w:rPr>
                <w:rFonts w:hint="eastAsia" w:eastAsia="方正书宋_GBK"/>
                <w:sz w:val="24"/>
                <w:szCs w:val="24"/>
              </w:rPr>
            </w:pPr>
            <w:r>
              <w:rPr>
                <w:rFonts w:hint="eastAsia" w:eastAsia="方正书宋_GBK"/>
                <w:sz w:val="24"/>
                <w:szCs w:val="24"/>
              </w:rPr>
              <w:t>电动汽车充电桩（公共及自用）</w:t>
            </w:r>
          </w:p>
        </w:tc>
        <w:tc>
          <w:tcPr>
            <w:tcW w:w="1148" w:type="dxa"/>
            <w:noWrap w:val="0"/>
            <w:tcMar>
              <w:left w:w="85" w:type="dxa"/>
              <w:right w:w="85" w:type="dxa"/>
            </w:tcMar>
            <w:vAlign w:val="center"/>
          </w:tcPr>
          <w:p w14:paraId="10C48551">
            <w:pPr>
              <w:jc w:val="center"/>
              <w:rPr>
                <w:rFonts w:hint="eastAsia" w:eastAsia="方正书宋_GBK"/>
                <w:sz w:val="24"/>
                <w:szCs w:val="24"/>
              </w:rPr>
            </w:pPr>
            <w:r>
              <w:rPr>
                <w:rFonts w:hint="eastAsia" w:eastAsia="方正书宋_GBK"/>
                <w:sz w:val="24"/>
                <w:szCs w:val="24"/>
              </w:rPr>
              <w:t>万个</w:t>
            </w:r>
          </w:p>
        </w:tc>
        <w:tc>
          <w:tcPr>
            <w:tcW w:w="951" w:type="dxa"/>
            <w:noWrap w:val="0"/>
            <w:tcMar>
              <w:left w:w="85" w:type="dxa"/>
              <w:right w:w="85" w:type="dxa"/>
            </w:tcMar>
            <w:vAlign w:val="center"/>
          </w:tcPr>
          <w:p w14:paraId="08058A62">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762A5F46">
            <w:pPr>
              <w:jc w:val="center"/>
              <w:rPr>
                <w:rFonts w:hint="eastAsia" w:eastAsia="方正书宋_GBK"/>
                <w:sz w:val="24"/>
                <w:szCs w:val="24"/>
              </w:rPr>
            </w:pPr>
            <w:r>
              <w:rPr>
                <w:rFonts w:hint="eastAsia" w:eastAsia="方正书宋_GBK"/>
                <w:sz w:val="24"/>
                <w:szCs w:val="24"/>
              </w:rPr>
              <w:t>2.6</w:t>
            </w:r>
          </w:p>
        </w:tc>
        <w:tc>
          <w:tcPr>
            <w:tcW w:w="1120" w:type="dxa"/>
            <w:noWrap w:val="0"/>
            <w:tcMar>
              <w:left w:w="85" w:type="dxa"/>
              <w:right w:w="85" w:type="dxa"/>
            </w:tcMar>
            <w:vAlign w:val="center"/>
          </w:tcPr>
          <w:p w14:paraId="5E5590A8">
            <w:pPr>
              <w:jc w:val="center"/>
              <w:rPr>
                <w:rFonts w:hint="eastAsia" w:eastAsia="方正书宋_GBK"/>
                <w:sz w:val="24"/>
                <w:szCs w:val="24"/>
              </w:rPr>
            </w:pPr>
            <w:r>
              <w:rPr>
                <w:rFonts w:hint="eastAsia" w:eastAsia="方正书宋_GBK"/>
                <w:sz w:val="24"/>
                <w:szCs w:val="24"/>
              </w:rPr>
              <w:t>5</w:t>
            </w:r>
          </w:p>
        </w:tc>
        <w:tc>
          <w:tcPr>
            <w:tcW w:w="924" w:type="dxa"/>
            <w:noWrap w:val="0"/>
            <w:tcMar>
              <w:left w:w="85" w:type="dxa"/>
              <w:right w:w="85" w:type="dxa"/>
            </w:tcMar>
            <w:vAlign w:val="center"/>
          </w:tcPr>
          <w:p w14:paraId="355BE932">
            <w:pPr>
              <w:jc w:val="center"/>
              <w:rPr>
                <w:rFonts w:hint="eastAsia" w:eastAsia="方正书宋_GBK"/>
                <w:sz w:val="24"/>
                <w:szCs w:val="24"/>
              </w:rPr>
            </w:pPr>
            <w:r>
              <w:rPr>
                <w:rFonts w:hint="eastAsia" w:eastAsia="方正书宋_GBK"/>
                <w:sz w:val="24"/>
                <w:szCs w:val="24"/>
              </w:rPr>
              <w:t>14.0</w:t>
            </w:r>
          </w:p>
        </w:tc>
      </w:tr>
      <w:tr w14:paraId="689D695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14:paraId="45F41E2A">
            <w:pPr>
              <w:jc w:val="center"/>
              <w:rPr>
                <w:rFonts w:hint="eastAsia" w:eastAsia="方正书宋_GBK"/>
                <w:sz w:val="24"/>
                <w:szCs w:val="24"/>
              </w:rPr>
            </w:pPr>
          </w:p>
        </w:tc>
        <w:tc>
          <w:tcPr>
            <w:tcW w:w="2576" w:type="dxa"/>
            <w:noWrap w:val="0"/>
            <w:tcMar>
              <w:left w:w="85" w:type="dxa"/>
              <w:right w:w="85" w:type="dxa"/>
            </w:tcMar>
            <w:vAlign w:val="center"/>
          </w:tcPr>
          <w:p w14:paraId="29E4E5CA">
            <w:pPr>
              <w:rPr>
                <w:rFonts w:hint="eastAsia" w:eastAsia="方正书宋_GBK"/>
                <w:sz w:val="24"/>
                <w:szCs w:val="24"/>
              </w:rPr>
            </w:pPr>
            <w:r>
              <w:rPr>
                <w:rFonts w:hint="eastAsia" w:eastAsia="方正书宋_GBK"/>
                <w:sz w:val="24"/>
                <w:szCs w:val="24"/>
              </w:rPr>
              <w:t>综合电压合格率</w:t>
            </w:r>
          </w:p>
        </w:tc>
        <w:tc>
          <w:tcPr>
            <w:tcW w:w="1148" w:type="dxa"/>
            <w:noWrap w:val="0"/>
            <w:tcMar>
              <w:left w:w="85" w:type="dxa"/>
              <w:right w:w="85" w:type="dxa"/>
            </w:tcMar>
            <w:vAlign w:val="center"/>
          </w:tcPr>
          <w:p w14:paraId="3DC7BB83">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14:paraId="53C4630F">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14:paraId="14157D87">
            <w:pPr>
              <w:jc w:val="center"/>
              <w:rPr>
                <w:rFonts w:hint="eastAsia" w:eastAsia="方正书宋_GBK"/>
                <w:sz w:val="24"/>
                <w:szCs w:val="24"/>
              </w:rPr>
            </w:pPr>
            <w:r>
              <w:rPr>
                <w:rFonts w:hint="eastAsia" w:eastAsia="方正书宋_GBK"/>
                <w:sz w:val="24"/>
                <w:szCs w:val="24"/>
              </w:rPr>
              <w:t>99.684</w:t>
            </w:r>
          </w:p>
        </w:tc>
        <w:tc>
          <w:tcPr>
            <w:tcW w:w="1120" w:type="dxa"/>
            <w:noWrap w:val="0"/>
            <w:tcMar>
              <w:left w:w="85" w:type="dxa"/>
              <w:right w:w="85" w:type="dxa"/>
            </w:tcMar>
            <w:vAlign w:val="center"/>
          </w:tcPr>
          <w:p w14:paraId="49DDE662">
            <w:pPr>
              <w:jc w:val="center"/>
              <w:rPr>
                <w:rFonts w:hint="eastAsia" w:eastAsia="方正书宋_GBK"/>
                <w:sz w:val="24"/>
                <w:szCs w:val="24"/>
              </w:rPr>
            </w:pPr>
            <w:r>
              <w:rPr>
                <w:rFonts w:hint="eastAsia" w:eastAsia="方正书宋_GBK"/>
                <w:sz w:val="24"/>
                <w:szCs w:val="24"/>
              </w:rPr>
              <w:t>99.849</w:t>
            </w:r>
          </w:p>
        </w:tc>
        <w:tc>
          <w:tcPr>
            <w:tcW w:w="924" w:type="dxa"/>
            <w:noWrap w:val="0"/>
            <w:tcMar>
              <w:left w:w="85" w:type="dxa"/>
              <w:right w:w="85" w:type="dxa"/>
            </w:tcMar>
            <w:vAlign w:val="center"/>
          </w:tcPr>
          <w:p w14:paraId="24F35FC4">
            <w:pPr>
              <w:jc w:val="center"/>
              <w:rPr>
                <w:rFonts w:hint="eastAsia" w:eastAsia="方正书宋_GBK"/>
                <w:sz w:val="24"/>
                <w:szCs w:val="24"/>
              </w:rPr>
            </w:pPr>
            <w:r>
              <w:rPr>
                <w:rFonts w:hint="eastAsia" w:eastAsia="方正书宋_GBK"/>
                <w:sz w:val="24"/>
                <w:szCs w:val="24"/>
              </w:rPr>
              <w:t>[0.165]</w:t>
            </w:r>
          </w:p>
        </w:tc>
      </w:tr>
    </w:tbl>
    <w:p w14:paraId="3BE54317">
      <w:pPr>
        <w:snapToGrid w:val="0"/>
        <w:rPr>
          <w:rFonts w:hint="eastAsia" w:eastAsia="方正书宋_GBK"/>
          <w:sz w:val="24"/>
          <w:szCs w:val="24"/>
        </w:rPr>
      </w:pPr>
      <w:r>
        <w:rPr>
          <w:rFonts w:hint="eastAsia" w:eastAsia="方正黑体_GBK"/>
          <w:sz w:val="24"/>
          <w:szCs w:val="24"/>
        </w:rPr>
        <w:t>注：</w:t>
      </w:r>
      <w:r>
        <w:rPr>
          <w:rFonts w:hint="eastAsia" w:eastAsia="方正书宋_GBK"/>
          <w:sz w:val="24"/>
          <w:szCs w:val="24"/>
        </w:rPr>
        <w:t>1．现状数据以统计公布数据为准。</w:t>
      </w:r>
    </w:p>
    <w:p w14:paraId="0D3C7855">
      <w:pPr>
        <w:snapToGrid w:val="0"/>
        <w:ind w:firstLine="472" w:firstLineChars="200"/>
        <w:rPr>
          <w:rFonts w:hint="eastAsia" w:eastAsia="方正书宋_GBK"/>
          <w:sz w:val="24"/>
          <w:szCs w:val="24"/>
        </w:rPr>
      </w:pPr>
      <w:r>
        <w:rPr>
          <w:rFonts w:hint="eastAsia" w:eastAsia="方正书宋_GBK"/>
          <w:sz w:val="24"/>
          <w:szCs w:val="24"/>
        </w:rPr>
        <w:t>2．约束性指标以国家下达我市强制性计划为准。</w:t>
      </w:r>
    </w:p>
    <w:p w14:paraId="7912CFD1">
      <w:pPr>
        <w:snapToGrid w:val="0"/>
        <w:ind w:firstLine="472" w:firstLineChars="200"/>
        <w:rPr>
          <w:rFonts w:hint="eastAsia" w:eastAsia="方正书宋_GBK"/>
          <w:sz w:val="24"/>
          <w:szCs w:val="24"/>
        </w:rPr>
      </w:pPr>
      <w:r>
        <w:rPr>
          <w:rFonts w:hint="eastAsia" w:eastAsia="方正书宋_GBK"/>
          <w:sz w:val="24"/>
          <w:szCs w:val="24"/>
        </w:rPr>
        <w:t>3．[ ]内为五年累计数。</w:t>
      </w:r>
    </w:p>
    <w:p w14:paraId="69C1BEF4">
      <w:pPr>
        <w:adjustRightInd/>
        <w:spacing w:line="240" w:lineRule="auto"/>
        <w:ind w:firstLine="632" w:firstLineChars="200"/>
        <w:textAlignment w:val="auto"/>
        <w:rPr>
          <w:rFonts w:hint="eastAsia"/>
        </w:rPr>
      </w:pPr>
      <w:r>
        <w:rPr>
          <w:rFonts w:hint="eastAsia"/>
        </w:rPr>
        <w:t>到2035年，现代能源体系基本建成，绿色生产和消费模式广泛形成，非化石能源消费比重进一步提高，单位GDP能耗持续低于全国平均水平，能源安全保障能力大幅提升，能源消费碳排放系数显著降低。</w:t>
      </w:r>
    </w:p>
    <w:p w14:paraId="640ACBA4">
      <w:pPr>
        <w:adjustRightInd/>
        <w:spacing w:line="240" w:lineRule="auto"/>
        <w:ind w:firstLine="632" w:firstLineChars="200"/>
        <w:textAlignment w:val="auto"/>
        <w:rPr>
          <w:rFonts w:hint="eastAsia" w:eastAsia="方正黑体_GBK"/>
        </w:rPr>
      </w:pPr>
      <w:r>
        <w:rPr>
          <w:rFonts w:hint="eastAsia" w:eastAsia="方正黑体_GBK"/>
        </w:rPr>
        <w:t>三、构建多元安全的能源供给体系</w:t>
      </w:r>
    </w:p>
    <w:p w14:paraId="2E36B899">
      <w:pPr>
        <w:adjustRightInd/>
        <w:spacing w:line="240" w:lineRule="auto"/>
        <w:ind w:firstLine="632" w:firstLineChars="200"/>
        <w:textAlignment w:val="auto"/>
        <w:rPr>
          <w:rFonts w:hint="eastAsia"/>
        </w:rPr>
      </w:pPr>
      <w:r>
        <w:rPr>
          <w:rFonts w:hint="eastAsia"/>
        </w:rPr>
        <w:t>坚持积极开发本地清洁能源与有序扩大市外能源调入规模并重，构建多元灵活的能源保障格局和内畅外通的能源供给基础设施体系，提高能源安全储备能力，提升安全运行水平。到2025年，本市能源综合生产能力达到3400万吨标准煤以上。</w:t>
      </w:r>
    </w:p>
    <w:p w14:paraId="0E161B75">
      <w:pPr>
        <w:adjustRightInd/>
        <w:spacing w:line="240" w:lineRule="auto"/>
        <w:ind w:firstLine="632" w:firstLineChars="200"/>
        <w:textAlignment w:val="auto"/>
        <w:rPr>
          <w:rFonts w:hint="eastAsia" w:eastAsia="方正楷体_GBK"/>
        </w:rPr>
      </w:pPr>
      <w:r>
        <w:rPr>
          <w:rFonts w:hint="eastAsia" w:eastAsia="方正楷体_GBK"/>
        </w:rPr>
        <w:t>（一）强化能源供应保障能力。</w:t>
      </w:r>
    </w:p>
    <w:p w14:paraId="6FD800A9">
      <w:pPr>
        <w:adjustRightInd/>
        <w:spacing w:line="240" w:lineRule="auto"/>
        <w:ind w:firstLine="632" w:firstLineChars="200"/>
        <w:textAlignment w:val="auto"/>
        <w:rPr>
          <w:rFonts w:hint="eastAsia"/>
        </w:rPr>
      </w:pPr>
      <w:r>
        <w:rPr>
          <w:rFonts w:hint="eastAsia"/>
        </w:rPr>
        <w:t>稳</w:t>
      </w:r>
      <w:r>
        <w:rPr>
          <w:rFonts w:hint="eastAsia"/>
          <w:spacing w:val="-4"/>
        </w:rPr>
        <w:t>定外煤入渝保供渠道。争取国家将重庆市纳入煤炭重点保供区域。按照多煤源（陕晋蒙、新甘宁等）、双通道（包西—西康—</w:t>
      </w:r>
      <w:r>
        <w:rPr>
          <w:rFonts w:hint="eastAsia"/>
        </w:rPr>
        <w:t>襄渝、兰新—兰渝）原则，利用煤矿关闭产能置换指标，采取入股或置换煤炭量等方式，稳定煤炭来源。争取推动达州运输枢纽等铁路运输瓶颈扩能改造，大力提升兰渝、襄渝、广元—达州等北煤入渝铁路运力；继续挖掘三峡航道运输潜力。到2025年，确保外煤入渝供应能力不低于5000万吨/年。</w:t>
      </w:r>
    </w:p>
    <w:p w14:paraId="6363D8B4">
      <w:pPr>
        <w:snapToGrid w:val="0"/>
        <w:jc w:val="center"/>
        <w:rPr>
          <w:rFonts w:hint="eastAsia"/>
        </w:rPr>
      </w:pPr>
      <w:r>
        <w:drawing>
          <wp:inline distT="0" distB="0" distL="114300" distR="114300">
            <wp:extent cx="4843780" cy="397954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43780" cy="3979545"/>
                    </a:xfrm>
                    <a:prstGeom prst="rect">
                      <a:avLst/>
                    </a:prstGeom>
                    <a:noFill/>
                    <a:ln>
                      <a:noFill/>
                    </a:ln>
                  </pic:spPr>
                </pic:pic>
              </a:graphicData>
            </a:graphic>
          </wp:inline>
        </w:drawing>
      </w:r>
    </w:p>
    <w:p w14:paraId="11D02C10">
      <w:pPr>
        <w:jc w:val="center"/>
        <w:rPr>
          <w:rFonts w:hint="eastAsia" w:eastAsia="方正黑体_GBK"/>
        </w:rPr>
      </w:pPr>
      <w:r>
        <w:rPr>
          <w:rFonts w:hint="eastAsia" w:eastAsia="方正黑体_GBK"/>
        </w:rPr>
        <w:t>图1  北煤入渝通道示意图</w:t>
      </w:r>
    </w:p>
    <w:p w14:paraId="3EE80D26">
      <w:pPr>
        <w:adjustRightInd/>
        <w:spacing w:line="240" w:lineRule="auto"/>
        <w:ind w:firstLine="632" w:firstLineChars="200"/>
        <w:textAlignment w:val="auto"/>
        <w:rPr>
          <w:rFonts w:hint="eastAsia"/>
        </w:rPr>
      </w:pPr>
      <w:r>
        <w:rPr>
          <w:rFonts w:hint="eastAsia"/>
        </w:rPr>
        <w:t>强化电力供应保障。发挥煤电托底保供和辅助服务作用，建成重庆电厂环保迁建项目。统筹“调峰、保供”双重需求，有序推进天然气发电发展，研究指标落后、服役期满煤电机组转为燃气发电机组的可行性，新增气电装机容量500万千瓦。有序实施乌江、涪江等重要干流梯级开发，建设乌江白马航电枢纽、嘉陵江利泽水利枢纽、涪江双江航电枢纽等，研究论证井口航电枢纽。结合资源、环保、土地、并网等建设条件，科学开发风能、太阳能。到2025年全市电力装机容量达</w:t>
      </w:r>
      <w:r>
        <w:rPr>
          <w:rFonts w:hint="eastAsia"/>
          <w:spacing w:val="-4"/>
        </w:rPr>
        <w:t>3650万千瓦。推进川渝特高压主网架建设，建成哈密至重庆±800</w:t>
      </w:r>
      <w:r>
        <w:rPr>
          <w:rFonts w:hint="eastAsia"/>
        </w:rPr>
        <w:t>千伏特高压直流输电工程和四川天府南至铜梁1000千伏特高压交流输变电工程，力争2025年外来电力输送能力达到1500万—1900万千瓦。</w:t>
      </w:r>
    </w:p>
    <w:p w14:paraId="33DA4EAC">
      <w:pPr>
        <w:jc w:val="center"/>
        <w:rPr>
          <w:rFonts w:hint="eastAsia" w:eastAsia="方正黑体_GBK"/>
        </w:rPr>
      </w:pPr>
      <w:r>
        <w:rPr>
          <w:rFonts w:hint="eastAsia" w:eastAsia="方正黑体_GBK"/>
        </w:rPr>
        <w:t>专栏3  市内电源建设项目</w:t>
      </w:r>
    </w:p>
    <w:p w14:paraId="46E1A7FD">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煤电项目：</w:t>
      </w:r>
      <w:r>
        <w:rPr>
          <w:rFonts w:hint="eastAsia" w:eastAsia="方正书宋_GBK"/>
          <w:sz w:val="24"/>
          <w:szCs w:val="24"/>
        </w:rPr>
        <w:t>建成重庆电厂环保迁建项目。</w:t>
      </w:r>
    </w:p>
    <w:p w14:paraId="5E9CD133">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天然气发电项目：</w:t>
      </w:r>
      <w:r>
        <w:rPr>
          <w:rFonts w:hint="eastAsia" w:eastAsia="方正书宋_GBK"/>
          <w:sz w:val="24"/>
          <w:szCs w:val="24"/>
        </w:rPr>
        <w:t>建设两江燃机二期、永川港桥园区燃机热电联产项目，规划储备燃气发电项目超过600万千瓦。</w:t>
      </w:r>
    </w:p>
    <w:p w14:paraId="7C1B9D5F">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水电项目：</w:t>
      </w:r>
      <w:r>
        <w:rPr>
          <w:rFonts w:hint="eastAsia" w:eastAsia="方正书宋_GBK"/>
          <w:sz w:val="24"/>
          <w:szCs w:val="24"/>
        </w:rPr>
        <w:t>建设乌江白马航电枢纽、嘉陵江利泽水利枢纽、涪江双江航电枢纽。</w:t>
      </w:r>
    </w:p>
    <w:p w14:paraId="6BDE10F3">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风电、光伏项目：</w:t>
      </w:r>
      <w:r>
        <w:rPr>
          <w:rFonts w:hint="eastAsia" w:eastAsia="方正书宋_GBK"/>
          <w:sz w:val="24"/>
          <w:szCs w:val="24"/>
        </w:rPr>
        <w:t>有序推进市内风电、光伏项目建设。</w:t>
      </w:r>
    </w:p>
    <w:p w14:paraId="2A480432">
      <w:pPr>
        <w:adjustRightInd/>
        <w:spacing w:line="240" w:lineRule="auto"/>
        <w:ind w:firstLine="632" w:firstLineChars="200"/>
        <w:textAlignment w:val="auto"/>
        <w:rPr>
          <w:rFonts w:hint="eastAsia"/>
        </w:rPr>
      </w:pPr>
      <w:r>
        <w:rPr>
          <w:rFonts w:hint="eastAsia"/>
        </w:rPr>
        <w:t>增</w:t>
      </w:r>
      <w:r>
        <w:rPr>
          <w:rFonts w:hint="eastAsia"/>
          <w:spacing w:val="-4"/>
        </w:rPr>
        <w:t>强油气供应保障。挖潜五百梯、沙坪场、卧龙河等老气田，平稳释放磨溪、罗家寨等新区产能，常规天然气年产量保持在50亿立方米左右。稳定涪陵页岩气田产能，推进南川、武隆、彭水、永川、綦江、铜梁、忠县、梁平等页岩气新区开发，实现资源有序接替，到2025年，页岩气年产量达到135亿立方米。争取稳定成品油长江水运通道，确保长江中下游、海进江等油源稳定供应。拓展西南、华南、西北等新增油源供应渠道，形成水路、管道、铁路协同共保格局。到2025年，成品油输入能力达到1050万吨以上。</w:t>
      </w:r>
    </w:p>
    <w:p w14:paraId="0F6508D6">
      <w:pPr>
        <w:adjustRightInd/>
        <w:spacing w:line="240" w:lineRule="auto"/>
        <w:jc w:val="center"/>
        <w:rPr>
          <w:rFonts w:hint="eastAsia" w:eastAsia="方正黑体_GBK"/>
        </w:rPr>
      </w:pPr>
    </w:p>
    <w:p w14:paraId="430D52A4">
      <w:pPr>
        <w:jc w:val="center"/>
        <w:rPr>
          <w:rFonts w:hint="eastAsia" w:eastAsia="方正黑体_GBK"/>
        </w:rPr>
      </w:pPr>
      <w:r>
        <w:rPr>
          <w:rFonts w:hint="eastAsia" w:eastAsia="方正黑体_GBK"/>
        </w:rPr>
        <w:t>专栏4  油气勘探开发重点项目</w:t>
      </w:r>
    </w:p>
    <w:p w14:paraId="475BFCA1">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常规天然气勘探项目：</w:t>
      </w:r>
      <w:r>
        <w:rPr>
          <w:rFonts w:hint="eastAsia" w:eastAsia="方正书宋_GBK"/>
          <w:sz w:val="24"/>
          <w:szCs w:val="24"/>
        </w:rPr>
        <w:t>建设磨溪气田（潼南）震旦系—下古生界、建南气田勘探项目（石柱）。</w:t>
      </w:r>
    </w:p>
    <w:p w14:paraId="05154A83">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页岩气勘探项目：</w:t>
      </w:r>
      <w:r>
        <w:rPr>
          <w:rFonts w:hint="eastAsia" w:eastAsia="方正书宋_GBK"/>
          <w:sz w:val="24"/>
          <w:szCs w:val="24"/>
        </w:rPr>
        <w:t>推进丰都、彭水、万盛、江津等页岩气勘探项目，涪陵页岩气志留系、侏罗系等勘探项目。</w:t>
      </w:r>
    </w:p>
    <w:p w14:paraId="1A1A0939">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常规天然气开发项目：</w:t>
      </w:r>
      <w:r>
        <w:rPr>
          <w:rFonts w:hint="eastAsia" w:eastAsia="方正书宋_GBK"/>
          <w:sz w:val="24"/>
          <w:szCs w:val="24"/>
        </w:rPr>
        <w:t>建设中石油大庆油气田潼南、合川常规天然气，中石化兴隆气田产能项目；推进潼南—合川、开州罗家寨、磨溪气田（潼南）稳产增能项目，川东北高含硫气田产能调整项目；建设忠县、万州、梁平、垫江、大足、丰都等老气田补充产能工程。</w:t>
      </w:r>
    </w:p>
    <w:p w14:paraId="47B2D0DF">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页岩气开发项目：</w:t>
      </w:r>
      <w:r>
        <w:rPr>
          <w:rFonts w:hint="eastAsia" w:eastAsia="方正书宋_GBK"/>
          <w:sz w:val="24"/>
          <w:szCs w:val="24"/>
        </w:rPr>
        <w:t>推进涪陵、南川页岩气稳产增能项目，复兴、梁平、彭水、永川—荣昌、铜梁—大足、武隆、綦江丁山核心区等区块页岩气商业化开发和产能建设项目。</w:t>
      </w:r>
    </w:p>
    <w:p w14:paraId="5BF1C451">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其他非常规油气项目：</w:t>
      </w:r>
      <w:r>
        <w:rPr>
          <w:rFonts w:hint="eastAsia" w:eastAsia="方正书宋_GBK"/>
          <w:sz w:val="24"/>
          <w:szCs w:val="24"/>
        </w:rPr>
        <w:t>开展煤层气资源调查评价。争创复兴区块国家级页岩油开发示范基地。</w:t>
      </w:r>
    </w:p>
    <w:p w14:paraId="118FFBFB">
      <w:pPr>
        <w:adjustRightInd/>
        <w:spacing w:line="240" w:lineRule="auto"/>
        <w:ind w:firstLine="632" w:firstLineChars="200"/>
        <w:textAlignment w:val="auto"/>
        <w:rPr>
          <w:rFonts w:hint="eastAsia" w:eastAsia="方正楷体_GBK"/>
        </w:rPr>
      </w:pPr>
      <w:r>
        <w:rPr>
          <w:rFonts w:hint="eastAsia" w:eastAsia="方正楷体_GBK"/>
        </w:rPr>
        <w:t>（二）完善能源基础设施网络。</w:t>
      </w:r>
    </w:p>
    <w:p w14:paraId="04F0CEAB">
      <w:pPr>
        <w:adjustRightInd/>
        <w:spacing w:line="240" w:lineRule="auto"/>
        <w:ind w:firstLine="632" w:firstLineChars="200"/>
        <w:textAlignment w:val="auto"/>
        <w:rPr>
          <w:rFonts w:hint="eastAsia"/>
        </w:rPr>
      </w:pPr>
      <w:r>
        <w:rPr>
          <w:rFonts w:hint="eastAsia"/>
        </w:rPr>
        <w:t>打造坚强局部电网。以“两横三纵”网架为基础，建设永川、中梁山和新玉等500千伏输变电工程，建成重庆电厂环保迁建和蟠龙抽水蓄能电站500千伏配套送出工程，优化特高压与500千伏交流主网架衔接配套，基本建成以主城都市区为重点的坚强局部电网。建设渝东北地区与主网500千伏第二联络通道，保障清洁电力可靠送出；研究论证大足、秀山或酉阳500千伏输变电工程，构建500千伏“双环两射”主网架结构，不断提高电网应对严重故障的抗风险能力。围绕负荷分布和电源布局，增加220千伏变电站布点，有序推进渝东北、渝东南地区220千伏、110千伏电网建设。加强地方电网与国家电网互联互通，实现各供区均衡供电，潮流分布合理，电能质量稳定可靠。</w:t>
      </w:r>
    </w:p>
    <w:p w14:paraId="5A484027">
      <w:pPr>
        <w:jc w:val="center"/>
      </w:pPr>
      <w:r>
        <w:drawing>
          <wp:inline distT="0" distB="0" distL="114300" distR="114300">
            <wp:extent cx="5619750" cy="397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619750" cy="3971925"/>
                    </a:xfrm>
                    <a:prstGeom prst="rect">
                      <a:avLst/>
                    </a:prstGeom>
                    <a:noFill/>
                    <a:ln>
                      <a:noFill/>
                    </a:ln>
                  </pic:spPr>
                </pic:pic>
              </a:graphicData>
            </a:graphic>
          </wp:inline>
        </w:drawing>
      </w:r>
    </w:p>
    <w:p w14:paraId="665F1BBE">
      <w:pPr>
        <w:jc w:val="center"/>
        <w:rPr>
          <w:rFonts w:hint="eastAsia" w:eastAsia="方正黑体_GBK"/>
        </w:rPr>
      </w:pPr>
      <w:r>
        <w:rPr>
          <w:rFonts w:hint="eastAsia" w:eastAsia="方正黑体_GBK"/>
        </w:rPr>
        <w:t>图2  重庆2025年重大电源和500千伏及以上电网示意图</w:t>
      </w:r>
    </w:p>
    <w:p w14:paraId="469D8A5D">
      <w:pPr>
        <w:jc w:val="center"/>
        <w:rPr>
          <w:rFonts w:hint="eastAsia" w:eastAsia="方正黑体_GBK"/>
        </w:rPr>
      </w:pPr>
      <w:r>
        <w:rPr>
          <w:rFonts w:hint="eastAsia" w:eastAsia="方正黑体_GBK"/>
        </w:rPr>
        <w:t>专栏5  电网基础设施</w:t>
      </w:r>
    </w:p>
    <w:p w14:paraId="466FEADA">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对外通道：</w:t>
      </w:r>
      <w:r>
        <w:rPr>
          <w:rFonts w:hint="eastAsia" w:eastAsia="方正书宋_GBK"/>
          <w:sz w:val="24"/>
          <w:szCs w:val="24"/>
        </w:rPr>
        <w:t>建设哈密至重庆±800千伏特高压直流输电工程、四川天府南至重庆铜梁1000千伏特高压交流输变电工程。</w:t>
      </w:r>
    </w:p>
    <w:p w14:paraId="2A003F0B">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电源接入配套项目：</w:t>
      </w:r>
      <w:r>
        <w:rPr>
          <w:rFonts w:hint="eastAsia" w:eastAsia="方正书宋_GBK"/>
          <w:sz w:val="24"/>
          <w:szCs w:val="24"/>
        </w:rPr>
        <w:t>建设重庆电厂环保迁建500千伏送出工程、綦江蟠龙抽水蓄能电站500千伏送出工程。</w:t>
      </w:r>
    </w:p>
    <w:p w14:paraId="61E6BB1F">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变电站新/扩建项目：</w:t>
      </w:r>
      <w:r>
        <w:rPr>
          <w:rFonts w:hint="eastAsia" w:eastAsia="方正书宋_GBK"/>
          <w:sz w:val="24"/>
          <w:szCs w:val="24"/>
        </w:rPr>
        <w:t>新建永川、中梁山、新玉500千伏输变电工程，推动金山、九盘扩主变和石坪主变增容工程实施，续建渝北金山500千伏输变电工程。研究论证大足、秀山或酉阳等500千伏输变电工程。</w:t>
      </w:r>
    </w:p>
    <w:p w14:paraId="695F629A">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电网优化、加强项目：</w:t>
      </w:r>
      <w:r>
        <w:rPr>
          <w:rFonts w:hint="eastAsia" w:eastAsia="方正书宋_GBK"/>
          <w:sz w:val="24"/>
          <w:szCs w:val="24"/>
        </w:rPr>
        <w:t>实施500千伏安隆线和南隆线出串间隔调整工程，推动万县至五马500千伏线路工程和长寿—明月山—石坪线路增容工程。</w:t>
      </w:r>
    </w:p>
    <w:p w14:paraId="341F00D7">
      <w:pPr>
        <w:adjustRightInd/>
        <w:spacing w:line="240" w:lineRule="auto"/>
        <w:ind w:firstLine="632" w:firstLineChars="200"/>
        <w:textAlignment w:val="auto"/>
        <w:rPr>
          <w:rFonts w:hint="eastAsia"/>
        </w:rPr>
      </w:pPr>
      <w:r>
        <w:rPr>
          <w:rFonts w:hint="eastAsia"/>
        </w:rPr>
        <w:t>完善天然气输气管网。按照国家部署，协同推进川气东送二线重庆段建设，形成“一纵三横多支线”跨省管网格局，增强川渝天然气资源服务全国能源保障能力。打造以川渝环网和渝西管网为骨架，铜锣峡、黄草峡储气库为节点，城镇燃气配网为触角的主城都市区产供储销体系。建设万源—城口、奉节—巫溪、云奉巫复线等管网，补齐渝东北供气短板；强化渝东南武陵山区城镇群管道运维，适时启动渝东南地区管网互联互通工程，增强天然气保障能力，形成国家干网、市级管网、储气调峰设施、城镇燃气配网互联互通，多方来气、气气竞争、就近利用，上中下游高效衔接的格局。</w:t>
      </w:r>
    </w:p>
    <w:p w14:paraId="18429E75">
      <w:pPr>
        <w:jc w:val="center"/>
      </w:pPr>
      <w:r>
        <w:drawing>
          <wp:inline distT="0" distB="0" distL="114300" distR="114300">
            <wp:extent cx="5483860" cy="3890645"/>
            <wp:effectExtent l="0" t="0" r="2540" b="14605"/>
            <wp:docPr id="3" name="图片 3" descr="油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油气"/>
                    <pic:cNvPicPr>
                      <a:picLocks noChangeAspect="1"/>
                    </pic:cNvPicPr>
                  </pic:nvPicPr>
                  <pic:blipFill>
                    <a:blip r:embed="rId9"/>
                    <a:stretch>
                      <a:fillRect/>
                    </a:stretch>
                  </pic:blipFill>
                  <pic:spPr>
                    <a:xfrm>
                      <a:off x="0" y="0"/>
                      <a:ext cx="5483860" cy="3890645"/>
                    </a:xfrm>
                    <a:prstGeom prst="rect">
                      <a:avLst/>
                    </a:prstGeom>
                    <a:noFill/>
                    <a:ln>
                      <a:noFill/>
                    </a:ln>
                  </pic:spPr>
                </pic:pic>
              </a:graphicData>
            </a:graphic>
          </wp:inline>
        </w:drawing>
      </w:r>
    </w:p>
    <w:p w14:paraId="75978A7C">
      <w:pPr>
        <w:jc w:val="center"/>
        <w:rPr>
          <w:rFonts w:hint="eastAsia" w:eastAsia="方正黑体_GBK"/>
        </w:rPr>
      </w:pPr>
      <w:r>
        <w:rPr>
          <w:rFonts w:hint="eastAsia" w:eastAsia="方正黑体_GBK"/>
        </w:rPr>
        <w:t>图3  重庆2025年天然气输气干线示意图</w:t>
      </w:r>
    </w:p>
    <w:p w14:paraId="3C82249B">
      <w:pPr>
        <w:adjustRightInd/>
        <w:spacing w:line="240" w:lineRule="auto"/>
        <w:ind w:firstLine="632" w:firstLineChars="200"/>
        <w:textAlignment w:val="auto"/>
        <w:rPr>
          <w:rFonts w:hint="eastAsia"/>
        </w:rPr>
      </w:pPr>
      <w:r>
        <w:rPr>
          <w:rFonts w:hint="eastAsia"/>
        </w:rPr>
        <w:t>优化调整成品油管网。稳步提升遵义—重庆成品油管道管输负荷和规模，结合伏牛溪油库搬迁优化兰成渝成品油管道，建成长寿—江北国际机场航油管道，新建成品油管道300公里，新增成品油仓储设施库容20万立方米，形成以江北、长寿、永川为集散中心，涪陵、万州、黔江、秀山为重点区域仓储基地的成品油配送体系。</w:t>
      </w:r>
    </w:p>
    <w:p w14:paraId="6C9E4E7E">
      <w:pPr>
        <w:jc w:val="center"/>
        <w:rPr>
          <w:rFonts w:hint="eastAsia" w:eastAsia="方正黑体_GBK"/>
        </w:rPr>
      </w:pPr>
      <w:r>
        <w:rPr>
          <w:rFonts w:hint="eastAsia" w:eastAsia="方正黑体_GBK"/>
        </w:rPr>
        <w:t>专栏6  油气管网项目</w:t>
      </w:r>
    </w:p>
    <w:p w14:paraId="41800FE4">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天然气管道：</w:t>
      </w:r>
      <w:r>
        <w:rPr>
          <w:rFonts w:hint="eastAsia" w:eastAsia="方正书宋_GBK"/>
          <w:sz w:val="24"/>
          <w:szCs w:val="24"/>
        </w:rPr>
        <w:t>建设川气东送二线及配套输气支线等国家干网。进一步完善市域输气管网，建设永川—江津、江津—南川、云奉巫复线、奉节—巫溪、万源—城口、南川—两江新区、东胜—大有、江津来滩</w:t>
      </w:r>
      <w:r>
        <w:rPr>
          <w:rFonts w:hint="eastAsia" w:eastAsia="方正书宋_GBK"/>
          <w:sz w:val="24"/>
          <w:szCs w:val="24"/>
        </w:rPr>
        <w:softHyphen/>
      </w:r>
      <w:r>
        <w:rPr>
          <w:rFonts w:hint="eastAsia" w:eastAsia="方正书宋_GBK"/>
          <w:sz w:val="24"/>
          <w:szCs w:val="24"/>
        </w:rPr>
        <w:softHyphen/>
      </w:r>
      <w:r>
        <w:rPr>
          <w:rFonts w:hint="eastAsia" w:eastAsia="方正书宋_GBK"/>
          <w:sz w:val="24"/>
          <w:szCs w:val="24"/>
        </w:rPr>
        <w:t>—支坪、临江—港桥、巴南姜家—界石、足202—璧山虎溪、足208井试采地面工程项目、三合—双福、黄草峡—江南清管站、合川铜相线—银祥配气站、铜锣峡储气库—龙兴配气站、涪陵长南线—长江西阀室等天然气输气管道，适时推进渝西、永川—荣昌、武隆、梁平—忠县、綦江丁山等页岩气区块外输通道。积极完善渝东南、渝东北等地区天然气管网，论证渝东南管网互联互通工程。推动建万线、巴渝线、卧渝线等老旧管网及站场适应性改造工程，配套建设储气库、工业园区、燃机电厂供气主管道。</w:t>
      </w:r>
    </w:p>
    <w:p w14:paraId="12A82269">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成品油管道：</w:t>
      </w:r>
      <w:r>
        <w:rPr>
          <w:rFonts w:hint="eastAsia" w:eastAsia="方正书宋_GBK"/>
          <w:sz w:val="24"/>
          <w:szCs w:val="24"/>
        </w:rPr>
        <w:t>建成长寿—江北国际机场航油管道，推动兰成渝和江津—荣昌成品油管道互联互通。推动伏牛溪油库搬迁，建设配套成品油管道。</w:t>
      </w:r>
    </w:p>
    <w:p w14:paraId="28825AA9">
      <w:pPr>
        <w:adjustRightInd/>
        <w:spacing w:line="240" w:lineRule="auto"/>
        <w:ind w:firstLine="632" w:firstLineChars="200"/>
        <w:textAlignment w:val="auto"/>
        <w:rPr>
          <w:rFonts w:hint="eastAsia" w:eastAsia="方正楷体_GBK"/>
        </w:rPr>
      </w:pPr>
      <w:r>
        <w:rPr>
          <w:rFonts w:hint="eastAsia" w:eastAsia="方正楷体_GBK"/>
        </w:rPr>
        <w:t>（三）提升能源运行安全水平。</w:t>
      </w:r>
    </w:p>
    <w:p w14:paraId="61B6709F">
      <w:pPr>
        <w:adjustRightInd/>
        <w:spacing w:line="240" w:lineRule="auto"/>
        <w:ind w:firstLine="632" w:firstLineChars="200"/>
        <w:textAlignment w:val="auto"/>
        <w:rPr>
          <w:rFonts w:hint="eastAsia"/>
        </w:rPr>
      </w:pPr>
      <w:r>
        <w:rPr>
          <w:rFonts w:hint="eastAsia"/>
        </w:rPr>
        <w:t>提升能源储备调度能力。依托港口码头、铁路站点、用户货场，适时新建、改扩建一批储煤基地，力争全市储煤能力达到750万吨/年以上。加快推进抽水蓄能电站建设，建成綦江蟠龙抽水蓄能电站，启动丰都栗子湾等一批抽水蓄能电站建设。构建以地下储气库为主，气田调峰、CNG和LNG储备站为辅，可中断用户为补充的天然气综合性调峰系统。力争到2025年，全市储气调峰能力达到38.6亿立方米，完成3天日均消费量及城镇燃气企业年用气量5%的储气能力建设任务。推进伏牛溪油库等老旧“城中库”搬迁，建设中国航油西南战略储运基地、一品油库等具备铁路、水运、管道多种运输方式条件的集散库，持续完善市级成品油应急储备机制，提升成品油储备能力。</w:t>
      </w:r>
    </w:p>
    <w:p w14:paraId="5A3FA018">
      <w:pPr>
        <w:jc w:val="center"/>
        <w:rPr>
          <w:rFonts w:hint="eastAsia" w:eastAsia="方正黑体_GBK"/>
        </w:rPr>
      </w:pPr>
      <w:r>
        <w:rPr>
          <w:rFonts w:hint="eastAsia" w:eastAsia="方正黑体_GBK"/>
        </w:rPr>
        <w:t>专栏7  能源储备及调峰项目</w:t>
      </w:r>
    </w:p>
    <w:p w14:paraId="7A07A033">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储煤设施：</w:t>
      </w:r>
      <w:r>
        <w:rPr>
          <w:rFonts w:hint="eastAsia" w:eastAsia="方正书宋_GBK"/>
          <w:sz w:val="24"/>
          <w:szCs w:val="24"/>
        </w:rPr>
        <w:t>规划建设一批储煤基地。</w:t>
      </w:r>
    </w:p>
    <w:p w14:paraId="3D667BF0">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抽水蓄能：</w:t>
      </w:r>
      <w:r>
        <w:rPr>
          <w:rFonts w:hint="eastAsia" w:eastAsia="方正书宋_GBK"/>
          <w:sz w:val="24"/>
          <w:szCs w:val="24"/>
        </w:rPr>
        <w:t>建成綦江蟠龙抽水蓄能项目，开工建设丰都栗子湾抽水蓄能项目，适时启动一批已纳入国家抽水蓄能规划的项目建设。</w:t>
      </w:r>
    </w:p>
    <w:p w14:paraId="3C783A9B">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天然气储备：</w:t>
      </w:r>
      <w:r>
        <w:rPr>
          <w:rFonts w:hint="eastAsia" w:eastAsia="方正书宋_GBK"/>
          <w:sz w:val="24"/>
          <w:szCs w:val="24"/>
        </w:rPr>
        <w:t>建设相国寺储气库扩大工作压力区间工程，建成投用铜锣峡和黄草峡储气库，启动沙坪场、万顺场等储气库前期论证。规划建设九龙坡、万州、黔江、永川等区域性调峰设施。</w:t>
      </w:r>
    </w:p>
    <w:p w14:paraId="0A3E87FE">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成品油储备：</w:t>
      </w:r>
      <w:r>
        <w:rPr>
          <w:rFonts w:hint="eastAsia" w:eastAsia="方正书宋_GBK"/>
          <w:sz w:val="24"/>
          <w:szCs w:val="24"/>
        </w:rPr>
        <w:t>建成中国航油西南战略储运基地，推进大渡口伏牛溪油化品仓储基地、万州驸马油库搬迁工作，规划建设长寿、永川、巴南、万州、合川、潼南等集散油库。</w:t>
      </w:r>
    </w:p>
    <w:p w14:paraId="5A9C8578">
      <w:pPr>
        <w:adjustRightInd/>
        <w:spacing w:line="240" w:lineRule="auto"/>
        <w:ind w:firstLine="632" w:firstLineChars="200"/>
        <w:textAlignment w:val="auto"/>
        <w:rPr>
          <w:rFonts w:hint="eastAsia"/>
        </w:rPr>
      </w:pPr>
      <w:r>
        <w:rPr>
          <w:rFonts w:hint="eastAsia"/>
        </w:rPr>
        <w:t>提升能源应急保障能力。制定和完善煤炭、电力、成品油、天然气等供给保障应急预案，明确应急启动条件、责任主体和保障措施，把握民生用能底线，梳理紧急情况压减用能单位清单，建立和完善应急指挥系统和保障队伍。建立能源安全预警体系，加强能源月度、季度监测，动态监控能源供应保障风险。督促能源企业落实安全供应主体责任和安全供应措施，确保各类能源生产、输送、调度、消费安全。强化重要能源基础设施、设备检测和巡视维护，提高抵御地质灾害、极端天气等突发事件冲击的能力。做好电力安全风险管控工作，编制大面积停电事件应急预案，进一步加强应急备用和调峰电源能力建设，提高电网黑启动电源数量和高安全等级保障电源规模。重视电力应急机构、队伍、装备建设，逐渐补齐短板，构建稳定性和灵活性兼顾的电力供应安全与应急保障体系，提升电力应急供应和事故恢复能力，有效应对恶劣天气等极端情形下电力供应问题。</w:t>
      </w:r>
    </w:p>
    <w:p w14:paraId="29E3B39F">
      <w:pPr>
        <w:adjustRightInd/>
        <w:spacing w:line="240" w:lineRule="auto"/>
        <w:ind w:firstLine="632" w:firstLineChars="200"/>
        <w:textAlignment w:val="auto"/>
        <w:rPr>
          <w:rFonts w:hint="eastAsia"/>
        </w:rPr>
      </w:pPr>
      <w:r>
        <w:rPr>
          <w:rFonts w:hint="eastAsia"/>
        </w:rPr>
        <w:t>强化能源安全生产。坚持管行业必须管安全，进一步健全能</w:t>
      </w:r>
      <w:r>
        <w:rPr>
          <w:rFonts w:hint="eastAsia"/>
          <w:spacing w:val="-4"/>
        </w:rPr>
        <w:t>源领域安全生产监督管理体制。完善油气长输管道保护责任清单，</w:t>
      </w:r>
      <w:r>
        <w:rPr>
          <w:rFonts w:hint="eastAsia"/>
        </w:rPr>
        <w:t>推动全市油气长输管道保护工作进入法治化、规范化轨道。加强油气长输管道高后果区风险管控，严防第三方施工破坏，推动安全生产和安全事故防范工作规范化、常态化。提升电力安全核心芯片自主可控水平，加强通信等网络漏洞安全管理，提高网络安全自主可控水平，增强态势感知、预警及协同处理能力。推动建立“企业负责、行业自律、政府监管、社会监督”的电化学储能电站安全管理机制。</w:t>
      </w:r>
    </w:p>
    <w:p w14:paraId="65979AEE">
      <w:pPr>
        <w:adjustRightInd/>
        <w:spacing w:line="240" w:lineRule="auto"/>
        <w:ind w:firstLine="632" w:firstLineChars="200"/>
        <w:textAlignment w:val="auto"/>
        <w:rPr>
          <w:rFonts w:hint="eastAsia" w:eastAsia="方正楷体_GBK"/>
        </w:rPr>
      </w:pPr>
      <w:r>
        <w:rPr>
          <w:rFonts w:hint="eastAsia" w:eastAsia="方正楷体_GBK"/>
        </w:rPr>
        <w:t>（四）夯实能源惠民利民保障。</w:t>
      </w:r>
    </w:p>
    <w:p w14:paraId="011E42C4">
      <w:pPr>
        <w:adjustRightInd/>
        <w:spacing w:line="240" w:lineRule="auto"/>
        <w:ind w:firstLine="632" w:firstLineChars="200"/>
        <w:textAlignment w:val="auto"/>
        <w:rPr>
          <w:rFonts w:hint="eastAsia"/>
        </w:rPr>
      </w:pPr>
      <w:r>
        <w:rPr>
          <w:rFonts w:hint="eastAsia"/>
        </w:rPr>
        <w:t>完</w:t>
      </w:r>
      <w:r>
        <w:rPr>
          <w:rFonts w:hint="eastAsia"/>
          <w:spacing w:val="-4"/>
        </w:rPr>
        <w:t>善城市居民用能基础设施。提升110千伏和10千伏城市配</w:t>
      </w:r>
      <w:r>
        <w:rPr>
          <w:rFonts w:hint="eastAsia"/>
        </w:rPr>
        <w:t>电网供电能力，促进新能源、分布式能源、电动汽车充换电设施等多元化负荷与配电网协调有序发展，打造适应山地高楼、密集负荷的高自愈、高可靠城市配电网。继续实施城镇居民供电设施改造，全面提升居民小区供电安全保障水平。提高边远区县供气能力，完成城口、巫溪等区县天然气管道建设。加快城镇燃气配套设施建设，扩大管网覆盖范围，完善区域供气网络，提升城镇天然气利用水平。加快推进城镇燃气老旧管道改造，消除安全隐患，增强天然气分户式采暖和集中采暖保障能力。</w:t>
      </w:r>
    </w:p>
    <w:p w14:paraId="7E4509E8">
      <w:pPr>
        <w:adjustRightInd/>
        <w:spacing w:line="240" w:lineRule="auto"/>
        <w:ind w:firstLine="632" w:firstLineChars="200"/>
        <w:textAlignment w:val="auto"/>
        <w:rPr>
          <w:rFonts w:hint="eastAsia"/>
        </w:rPr>
      </w:pPr>
      <w:r>
        <w:rPr>
          <w:rFonts w:hint="eastAsia"/>
        </w:rPr>
        <w:t>建设多元清洁供能体系助力乡村振兴。实施乡村清洁能源建设工程，加强煤炭清洁化利用。按照“宜管则管”“宜罐则罐”原则，积极稳妥推进燃气下乡，建设安全可靠的乡村储气罐站和微管网供气系统。依托乡村网格化规划，建设经济耐用、灵活可靠的农村配电网，实现从“用上电”到“用好电”。推动农村分布式光伏项目，做到“同步接网、全额消纳、及时结算”，切实提升农户收入。就近利用农作物秸秆、畜禽粪便、林业剩余物等生物质资源，因地制宜发展农村可再生能源，积极稳妥推进散煤替代，推进用能形态转型。</w:t>
      </w:r>
    </w:p>
    <w:p w14:paraId="5B101CD5">
      <w:pPr>
        <w:adjustRightInd/>
        <w:spacing w:line="240" w:lineRule="auto"/>
        <w:ind w:firstLine="632" w:firstLineChars="200"/>
        <w:textAlignment w:val="auto"/>
        <w:rPr>
          <w:rFonts w:hint="eastAsia" w:eastAsia="方正黑体_GBK"/>
        </w:rPr>
      </w:pPr>
      <w:r>
        <w:rPr>
          <w:rFonts w:hint="eastAsia" w:eastAsia="方正黑体_GBK"/>
        </w:rPr>
        <w:t>四、推动能源结构绿色低碳转型</w:t>
      </w:r>
    </w:p>
    <w:p w14:paraId="19FA381E">
      <w:pPr>
        <w:adjustRightInd/>
        <w:spacing w:line="240" w:lineRule="auto"/>
        <w:ind w:firstLine="632" w:firstLineChars="200"/>
        <w:textAlignment w:val="auto"/>
        <w:rPr>
          <w:rFonts w:hint="eastAsia"/>
        </w:rPr>
      </w:pPr>
      <w:r>
        <w:rPr>
          <w:rFonts w:hint="eastAsia"/>
        </w:rPr>
        <w:t>实施能源领域碳达峰碳中和行动，科学有序推动能源生产消费方式绿色低碳变革。实施可再生能源替代，减少化石能源消费。加强产业布局和能耗“双控”政策衔接，促进重点用能领域用能结构优化和能效提升。</w:t>
      </w:r>
    </w:p>
    <w:p w14:paraId="20B8C834">
      <w:pPr>
        <w:adjustRightInd/>
        <w:spacing w:line="240" w:lineRule="auto"/>
        <w:ind w:firstLine="632" w:firstLineChars="200"/>
        <w:textAlignment w:val="auto"/>
        <w:rPr>
          <w:rFonts w:hint="eastAsia" w:eastAsia="方正楷体_GBK"/>
        </w:rPr>
      </w:pPr>
      <w:r>
        <w:rPr>
          <w:rFonts w:hint="eastAsia" w:eastAsia="方正楷体_GBK"/>
        </w:rPr>
        <w:t>（一）降低煤炭在能源供给和消费结构中的占比。</w:t>
      </w:r>
    </w:p>
    <w:p w14:paraId="74D39085">
      <w:pPr>
        <w:adjustRightInd/>
        <w:spacing w:line="240" w:lineRule="auto"/>
        <w:ind w:firstLine="632" w:firstLineChars="200"/>
        <w:textAlignment w:val="auto"/>
        <w:rPr>
          <w:rFonts w:hint="eastAsia"/>
        </w:rPr>
      </w:pPr>
      <w:r>
        <w:rPr>
          <w:rFonts w:hint="eastAsia"/>
        </w:rPr>
        <w:t>持续提高清洁能源供给占比。启动一批以实现碳中和为目标的可再生能源项目试点示范。开展风电场技改扩能“退旧换新”大容量高效率机组，提高风电发电效率。有序推进整县屋顶光伏建设，加快工业园区、经济开发区、公共建筑等屋顶分布式光伏推广利用。因地制宜推动生物质发电，稳步发展城镇生活垃圾焚烧发电，有序发展农林生物质发电和沼气发电。到2025年，全市清洁能源装机占比达到50%。</w:t>
      </w:r>
    </w:p>
    <w:p w14:paraId="5E537BE0">
      <w:pPr>
        <w:adjustRightInd/>
        <w:spacing w:line="240" w:lineRule="auto"/>
        <w:ind w:firstLine="632" w:firstLineChars="200"/>
        <w:textAlignment w:val="auto"/>
        <w:rPr>
          <w:rFonts w:hint="eastAsia"/>
        </w:rPr>
      </w:pPr>
      <w:r>
        <w:rPr>
          <w:rFonts w:hint="eastAsia"/>
        </w:rPr>
        <w:t>加快推动燃煤替代。控制非电行业燃煤消费量，提高煤炭用于发电的比例。严格控制钢铁、化工、水泥等用煤行业煤炭消费，有序推进“煤改电”“煤改气”工程。严控新增耗煤项目，新、改、扩建钢铁、化工、水泥等项目实施煤炭减量替代，推进城乡以电代煤、以气代煤。到2025年，实现电力占终端能源消费比重达到25%以上，替代电量70亿千瓦时。</w:t>
      </w:r>
    </w:p>
    <w:p w14:paraId="5DDF0D63">
      <w:pPr>
        <w:adjustRightInd/>
        <w:spacing w:line="240" w:lineRule="auto"/>
        <w:ind w:firstLine="632" w:firstLineChars="200"/>
        <w:textAlignment w:val="auto"/>
        <w:rPr>
          <w:rFonts w:hint="eastAsia"/>
        </w:rPr>
      </w:pPr>
      <w:r>
        <w:rPr>
          <w:rFonts w:hint="eastAsia"/>
        </w:rPr>
        <w:t>减少能源产业碳排放。加强化石能源开发生产碳减排。推动能源加工储运提效降碳，加快燃煤发电机组清洁高效利用、超低排放改造和降低煤耗改造，常规火电机组规模保持稳定，新增煤电机组全部用于安全调峰保底供应并按照超低排放标准建设。加强能源加工储运设施节能及余能回收利用，推广余热余压、LNG冷能等余能综合利用技术。注重能源产业和生态治理协同发展，推动采煤沉陷区和关闭煤矿生态环境治理修复，因地制宜推动林光互补、农光互补，开发枯竭气藏、关闭煤矿的二氧化碳地质封存潜力。</w:t>
      </w:r>
    </w:p>
    <w:p w14:paraId="43D5D3B0">
      <w:pPr>
        <w:adjustRightInd/>
        <w:spacing w:line="240" w:lineRule="auto"/>
        <w:ind w:firstLine="632" w:firstLineChars="200"/>
        <w:textAlignment w:val="auto"/>
        <w:rPr>
          <w:rFonts w:hint="eastAsia"/>
        </w:rPr>
      </w:pPr>
      <w:r>
        <w:rPr>
          <w:rFonts w:hint="eastAsia"/>
        </w:rPr>
        <w:t>推动天然气与太阳能、地热源、水源等可再生能源融合发展。开展氢能利用研究，以先行先试带动推广应用，加快“油气电氢”综合能源站建设，车用综合能源站达到100座。完善LNG加气站点网络化布局，增加LNG加气站加注功能，形成覆盖全市的LNG加气站网络体系。推进船用燃油领域天然气替代，鼓励发展LNG动力船舶，加快推进涪陵、万州、丰都LNG加注码头建设，支持船用LNG移动加注。</w:t>
      </w:r>
    </w:p>
    <w:p w14:paraId="4732F728">
      <w:pPr>
        <w:adjustRightInd/>
        <w:spacing w:line="240" w:lineRule="auto"/>
        <w:ind w:firstLine="632" w:firstLineChars="200"/>
        <w:textAlignment w:val="auto"/>
        <w:rPr>
          <w:rFonts w:hint="eastAsia"/>
        </w:rPr>
      </w:pPr>
    </w:p>
    <w:p w14:paraId="7DC01F33">
      <w:pPr>
        <w:adjustRightInd/>
        <w:spacing w:line="240" w:lineRule="auto"/>
        <w:ind w:firstLine="632" w:firstLineChars="200"/>
        <w:textAlignment w:val="auto"/>
        <w:rPr>
          <w:rFonts w:hint="eastAsia"/>
        </w:rPr>
      </w:pPr>
    </w:p>
    <w:p w14:paraId="7B0DCBA3">
      <w:pPr>
        <w:jc w:val="center"/>
        <w:rPr>
          <w:rFonts w:hint="eastAsia" w:eastAsia="方正黑体_GBK"/>
        </w:rPr>
      </w:pPr>
      <w:r>
        <w:rPr>
          <w:rFonts w:hint="eastAsia" w:eastAsia="方正黑体_GBK"/>
        </w:rPr>
        <w:t>专栏8  能源结构低碳转型项目</w:t>
      </w:r>
    </w:p>
    <w:p w14:paraId="6C54FEB8">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碳中和示范项目：</w:t>
      </w:r>
      <w:r>
        <w:rPr>
          <w:rFonts w:hint="eastAsia" w:eastAsia="方正书宋_GBK"/>
          <w:sz w:val="24"/>
          <w:szCs w:val="24"/>
        </w:rPr>
        <w:t>探索开展合川双槐发电零碳示范项目等试点项目。</w:t>
      </w:r>
    </w:p>
    <w:p w14:paraId="111854F4">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生物质发电：</w:t>
      </w:r>
      <w:r>
        <w:rPr>
          <w:rFonts w:hint="eastAsia" w:eastAsia="方正书宋_GBK"/>
          <w:sz w:val="24"/>
          <w:szCs w:val="24"/>
        </w:rPr>
        <w:t>结</w:t>
      </w:r>
      <w:r>
        <w:rPr>
          <w:rFonts w:hint="eastAsia" w:eastAsia="方正书宋_GBK"/>
          <w:spacing w:val="2"/>
          <w:sz w:val="24"/>
          <w:szCs w:val="24"/>
        </w:rPr>
        <w:t>合《重庆市生活垃圾焚烧发电中长期专项规划（2021—2035年）</w:t>
      </w:r>
      <w:r>
        <w:rPr>
          <w:rFonts w:hint="eastAsia" w:eastAsia="方正书宋_GBK"/>
          <w:sz w:val="24"/>
          <w:szCs w:val="24"/>
        </w:rPr>
        <w:t>》，建成铜梁、秀山、武隆、綦江、合川、垫江、黔江生活垃圾焚烧发电项目，推动璧山、荣昌、潼南、丰都、奉节、梁平、巫山、大足、云阳、涪陵—长寿、万州、酉阳、綦江（二期）等生活垃圾焚烧发电项目实施。在潼南、綦江、江津等地利用废弃物、污泥、沼气等建设生物质发电项目。</w:t>
      </w:r>
    </w:p>
    <w:p w14:paraId="213C6667">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燃煤减量替代</w:t>
      </w:r>
      <w:r>
        <w:rPr>
          <w:rFonts w:hint="eastAsia" w:eastAsia="方正书宋_GBK"/>
          <w:sz w:val="24"/>
          <w:szCs w:val="24"/>
        </w:rPr>
        <w:t>：加强停产关闭矿井管控，淘汰落后燃煤机组，推进“煤改电”“煤改气”工程。</w:t>
      </w:r>
    </w:p>
    <w:p w14:paraId="29549BEF">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氢能利用示范</w:t>
      </w:r>
      <w:r>
        <w:rPr>
          <w:rFonts w:hint="eastAsia" w:eastAsia="方正书宋_GBK"/>
          <w:sz w:val="24"/>
          <w:szCs w:val="24"/>
        </w:rPr>
        <w:t>：建设成渝氢走廊，开展氢能在交通领域示范应用，推广应用氢燃料电池汽车，到2025年规模达到1500辆，建设多种类型加氢站30座。</w:t>
      </w:r>
    </w:p>
    <w:p w14:paraId="3B0C71E9">
      <w:pPr>
        <w:adjustRightInd/>
        <w:spacing w:line="240" w:lineRule="auto"/>
        <w:ind w:firstLine="632" w:firstLineChars="200"/>
        <w:textAlignment w:val="auto"/>
        <w:rPr>
          <w:rFonts w:hint="eastAsia" w:eastAsia="方正楷体_GBK"/>
        </w:rPr>
      </w:pPr>
      <w:r>
        <w:rPr>
          <w:rFonts w:hint="eastAsia" w:eastAsia="方正楷体_GBK"/>
        </w:rPr>
        <w:t>（二）促进重点行业能源消费结构调整。</w:t>
      </w:r>
    </w:p>
    <w:p w14:paraId="6015EF45">
      <w:pPr>
        <w:adjustRightInd/>
        <w:spacing w:line="240" w:lineRule="auto"/>
        <w:ind w:firstLine="632" w:firstLineChars="200"/>
        <w:textAlignment w:val="auto"/>
        <w:rPr>
          <w:rFonts w:hint="eastAsia"/>
        </w:rPr>
      </w:pPr>
      <w:r>
        <w:rPr>
          <w:rFonts w:hint="eastAsia"/>
        </w:rPr>
        <w:t>强化重点领域节能提效。优化产业布局，加强工业、建筑、交通运输、新基建、公共机构等重点领域节能。强化工业能效提升，对标国际先进水平，构建绿色制造体系。围绕企业能源效率</w:t>
      </w:r>
      <w:r>
        <w:rPr>
          <w:rFonts w:hint="eastAsia"/>
          <w:spacing w:val="-4"/>
        </w:rPr>
        <w:t>及能源管理全面开展节能诊断，充分挖掘企业节能技术改造潜力、</w:t>
      </w:r>
      <w:r>
        <w:rPr>
          <w:rFonts w:hint="eastAsia"/>
        </w:rPr>
        <w:t>能源转化效率提升潜力。完善绿色建筑标准及认证体系，推广应用装配式建筑、钢结构建筑和新型建材，推进既有建筑节能和绿色化改造，降低建筑运行能耗。积极构建绿色低碳交通运输网络，</w:t>
      </w:r>
      <w:r>
        <w:rPr>
          <w:rFonts w:hint="eastAsia"/>
          <w:spacing w:val="-4"/>
        </w:rPr>
        <w:t>依托长江黄金水道和国际多式联运枢纽体系，大力发展江海直达、</w:t>
      </w:r>
      <w:r>
        <w:rPr>
          <w:rFonts w:hint="eastAsia"/>
        </w:rPr>
        <w:t>干支直达运输，促进大宗货物运输“公转铁”“公转水”。发展城市公交和绿色运输装备，引导居民绿色低碳出行。推进数据中心、</w:t>
      </w:r>
      <w:r>
        <w:rPr>
          <w:rFonts w:hint="eastAsia"/>
          <w:spacing w:val="-4"/>
        </w:rPr>
        <w:t>5G通信基站等新型基础设施节能，促进现代信息技术与传统基础</w:t>
      </w:r>
      <w:r>
        <w:rPr>
          <w:rFonts w:hint="eastAsia"/>
        </w:rPr>
        <w:t>设施融合，提高运行效率和节能水平。围绕节约型机关建设，强化公共机构节能管理。</w:t>
      </w:r>
    </w:p>
    <w:p w14:paraId="3FA5018D">
      <w:pPr>
        <w:adjustRightInd/>
        <w:spacing w:line="240" w:lineRule="auto"/>
        <w:ind w:firstLine="632" w:firstLineChars="200"/>
        <w:textAlignment w:val="auto"/>
        <w:rPr>
          <w:rFonts w:hint="eastAsia"/>
        </w:rPr>
      </w:pPr>
      <w:r>
        <w:rPr>
          <w:rFonts w:hint="eastAsia"/>
        </w:rPr>
        <w:t>实施重点节能工程。以重点行业能效提升为抓手，构建覆盖全产业链和产品全生命周期的绿色制造体系。加强产业园区能源梯级利用，创建一批具有示范带动效应的绿色园区和绿色工厂。开展绿色建筑创建行动，积极培育条件适宜的超低能耗和近零能耗示范项目，鼓励有条件的地区开展绿色建筑集中连片示范工程建设，拓展可再生能源在建筑领域的应用形式，扩大可再生能源建筑应用规模，建设一批引领性、标志性绿色建筑。开展氢燃料电池汽车应用示范工程，完善港口岸电、APU（飞机辅助动力装置）替代、油气回收等基础设施，持续提升道路等级，开展以节能照明、拌合楼油改气等节能环保技术为代表的绿色公路建设，推动绿色普通国省道干线公路样板工程建设。</w:t>
      </w:r>
    </w:p>
    <w:p w14:paraId="2A81347D">
      <w:pPr>
        <w:adjustRightInd/>
        <w:spacing w:line="240" w:lineRule="auto"/>
        <w:ind w:firstLine="632" w:firstLineChars="200"/>
        <w:textAlignment w:val="auto"/>
        <w:rPr>
          <w:rFonts w:hint="eastAsia" w:eastAsia="方正黑体_GBK"/>
        </w:rPr>
      </w:pPr>
      <w:r>
        <w:rPr>
          <w:rFonts w:hint="eastAsia" w:eastAsia="方正黑体_GBK"/>
        </w:rPr>
        <w:t>五、构建创新引领的能源产业体系</w:t>
      </w:r>
    </w:p>
    <w:p w14:paraId="5017AAA8">
      <w:pPr>
        <w:adjustRightInd/>
        <w:spacing w:line="240" w:lineRule="auto"/>
        <w:ind w:firstLine="632" w:firstLineChars="200"/>
        <w:textAlignment w:val="auto"/>
        <w:rPr>
          <w:rFonts w:hint="eastAsia"/>
        </w:rPr>
      </w:pPr>
      <w:r>
        <w:rPr>
          <w:rFonts w:hint="eastAsia"/>
        </w:rPr>
        <w:t>深入实施创新驱动发展战略，推动关键能源装备的技术攻关、试验示范和推广应用，培育和提高能源装备自主创新能力，积极构建智慧能源系统，推动能源产业数字化智能化升级。</w:t>
      </w:r>
    </w:p>
    <w:p w14:paraId="3569DC30">
      <w:pPr>
        <w:adjustRightInd/>
        <w:spacing w:line="240" w:lineRule="auto"/>
        <w:ind w:firstLine="632" w:firstLineChars="200"/>
        <w:textAlignment w:val="auto"/>
        <w:rPr>
          <w:rFonts w:hint="eastAsia" w:eastAsia="方正楷体_GBK"/>
        </w:rPr>
      </w:pPr>
      <w:r>
        <w:rPr>
          <w:rFonts w:hint="eastAsia" w:eastAsia="方正楷体_GBK"/>
        </w:rPr>
        <w:t>（一）积极发展能源装备产业。</w:t>
      </w:r>
    </w:p>
    <w:p w14:paraId="77EB152A">
      <w:pPr>
        <w:adjustRightInd/>
        <w:spacing w:line="240" w:lineRule="auto"/>
        <w:ind w:firstLine="632" w:firstLineChars="200"/>
        <w:textAlignment w:val="auto"/>
        <w:rPr>
          <w:rFonts w:hint="eastAsia"/>
        </w:rPr>
      </w:pPr>
      <w:r>
        <w:rPr>
          <w:rFonts w:hint="eastAsia"/>
        </w:rPr>
        <w:t>依靠科技创新，统筹推进能源装备产业原创性突破、国产化替代、应用性转化和规模化量产。做大风电产业集群发展，做长产业链，稳定供应链，提高本地配套率。积极提升变压器、电力电缆和开关柜等现有产品智能化水平，发展特高压输变电成套装备、GIS（气体绝缘金属封闭开关设备）等先进产品。巩固烟气脱硫脱硝、垃圾高效清洁焚烧发电等现有节能装备优势地位，引进二氧化碳捕捉、PM2.5（细颗粒物）脱除等大型成套节能环保设备。积极布局先进油气装备制造项目，加快页岩气井口装置、仪器仪表、钻井辅助设备等配套装备开发，引进勘探、钻井、完井、压裂和站场集输等环节成套装备企业。围绕中国西部（重庆）氢谷、成渝氢走廊建设，稳步提升制氢能力，并探索优化储运方式，适度超前建设加氢基础设施网络。以两江新区、九龙坡区、西部科学城重庆高新区为龙头，积极打造氢燃料电池及核心零部件产业集群，推动氢气制备、储运、终端供应全产业链发展。大力发展动力电池单体及电池系统、正负极材料、驱动电机及控制器、整车控制系统等新能源汽车技术。依托太阳能薄膜项目和航空发动机项目，力争在光伏发电设备、燃气轮机等领域有所突破。</w:t>
      </w:r>
    </w:p>
    <w:p w14:paraId="21123A59">
      <w:pPr>
        <w:jc w:val="center"/>
        <w:rPr>
          <w:rFonts w:hint="eastAsia" w:eastAsia="方正黑体_GBK"/>
        </w:rPr>
      </w:pPr>
      <w:r>
        <w:rPr>
          <w:rFonts w:hint="eastAsia" w:eastAsia="方正黑体_GBK"/>
        </w:rPr>
        <w:t>专栏9  重大能源装备</w:t>
      </w:r>
    </w:p>
    <w:p w14:paraId="0192209A">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电力：</w:t>
      </w:r>
      <w:r>
        <w:rPr>
          <w:rFonts w:hint="eastAsia" w:eastAsia="方正书宋_GBK"/>
          <w:sz w:val="24"/>
          <w:szCs w:val="24"/>
        </w:rPr>
        <w:t>推动特高压直流变压器、重庆海装海上大兆瓦风电机组，垃圾发电、生物质垃圾沼气发电装备制造；结合抽水蓄能电站建设，推动加快抽水蓄能电站大容量水轮机组产品开发。</w:t>
      </w:r>
    </w:p>
    <w:p w14:paraId="5D05D202">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节能：</w:t>
      </w:r>
      <w:r>
        <w:rPr>
          <w:rFonts w:hint="eastAsia" w:eastAsia="方正书宋_GBK"/>
          <w:sz w:val="24"/>
          <w:szCs w:val="24"/>
        </w:rPr>
        <w:t>引进烟气脱硫脱硝、垃圾高效清洁焚烧发电、二氧化碳捕捉、PM2.5脱除等成套节能环保设备。</w:t>
      </w:r>
    </w:p>
    <w:p w14:paraId="7707373B">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油气</w:t>
      </w:r>
      <w:r>
        <w:rPr>
          <w:rFonts w:hint="eastAsia" w:eastAsia="方正书宋_GBK"/>
          <w:sz w:val="24"/>
          <w:szCs w:val="24"/>
        </w:rPr>
        <w:t>：发展超大功率油气压裂装备等成套装备，井口测试、仪器仪表等配套装备，套管、压裂液等配套材料。</w:t>
      </w:r>
    </w:p>
    <w:p w14:paraId="7F1A6EF9">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氢能</w:t>
      </w:r>
      <w:r>
        <w:rPr>
          <w:rFonts w:hint="eastAsia" w:eastAsia="方正书宋_GBK"/>
          <w:sz w:val="24"/>
          <w:szCs w:val="24"/>
        </w:rPr>
        <w:t>：培育发展工业副氢提纯利用、氢能储存、氢气压缩机、液氢泵、加氢机及核心阀门等氢能制造、储存、运输装备。</w:t>
      </w:r>
    </w:p>
    <w:p w14:paraId="2C4F7E1F">
      <w:pPr>
        <w:adjustRightInd/>
        <w:spacing w:line="240" w:lineRule="auto"/>
        <w:ind w:firstLine="632" w:firstLineChars="200"/>
        <w:textAlignment w:val="auto"/>
        <w:rPr>
          <w:rFonts w:hint="eastAsia" w:eastAsia="方正楷体_GBK"/>
        </w:rPr>
      </w:pPr>
      <w:r>
        <w:rPr>
          <w:rFonts w:hint="eastAsia" w:eastAsia="方正楷体_GBK"/>
        </w:rPr>
        <w:t>（二）着力发展智慧能源产业。</w:t>
      </w:r>
    </w:p>
    <w:p w14:paraId="031A608D">
      <w:pPr>
        <w:adjustRightInd/>
        <w:spacing w:line="240" w:lineRule="auto"/>
        <w:ind w:firstLine="632" w:firstLineChars="200"/>
        <w:textAlignment w:val="auto"/>
        <w:rPr>
          <w:rFonts w:hint="eastAsia"/>
        </w:rPr>
      </w:pPr>
      <w:r>
        <w:rPr>
          <w:rFonts w:hint="eastAsia"/>
        </w:rPr>
        <w:t>推动大数据、云计算、5G等信息技术在能源领域应用，构建智慧能源体系。集成信息系统与能源系统，实现对系统运行状态的精准监测和实时管理。依托现代信息通讯及智能化技术，加强全网统一调度，建设“源网荷储”协调发展、集成互补的能源互联网。鼓励风电、太阳能发电等可再生能源的智能化生产，依托新能源、储能、柔性网络和微网等技术，实现分布式能源的高效灵活接入。推动新型电力设施、关键装备技术、信息通信技术研发示范，拓展人工智能在设备运维、电网调度、安全管控等领域应用。支持智慧电厂、新能源集控平台建设，促进多种类型能源网络互联互通、多种能源形态协同转化。实施城市配电网供电可靠性提升行动和配电网网架优化行动，提高各级电网智能化水平。依靠能源技术，在开发区、产业园区、旅游景区积极推广开展“互联网+”智慧能源试点示范。推动多种能源的智能定制，合理引导电力需求，支持虚拟电厂、负荷集成商等新型需求侧管理模式发展，培育智慧用能新模式。</w:t>
      </w:r>
    </w:p>
    <w:p w14:paraId="76CF6E8F">
      <w:pPr>
        <w:adjustRightInd/>
        <w:spacing w:line="240" w:lineRule="auto"/>
        <w:ind w:firstLine="632" w:firstLineChars="200"/>
        <w:textAlignment w:val="auto"/>
        <w:rPr>
          <w:rFonts w:hint="eastAsia" w:eastAsia="方正楷体_GBK"/>
        </w:rPr>
      </w:pPr>
      <w:r>
        <w:rPr>
          <w:rFonts w:hint="eastAsia" w:eastAsia="方正楷体_GBK"/>
        </w:rPr>
        <w:t>（三）加快推动能源数字化转型。</w:t>
      </w:r>
    </w:p>
    <w:p w14:paraId="0B677C48">
      <w:pPr>
        <w:adjustRightInd/>
        <w:spacing w:line="240" w:lineRule="auto"/>
        <w:ind w:firstLine="632" w:firstLineChars="200"/>
        <w:textAlignment w:val="auto"/>
        <w:rPr>
          <w:rFonts w:hint="eastAsia"/>
        </w:rPr>
      </w:pPr>
      <w:r>
        <w:rPr>
          <w:rFonts w:hint="eastAsia"/>
        </w:rPr>
        <w:t>强化数字经济技术在能源系统中的应用，培育能源数字经济新优势。鼓励用户端智能化用能，实现能源自由交易和灵活补贴结算。整合气源、管网、客户端等供应链数据，推进物联网在燃气网络中的应用。推动能源与交通、金融等行业的跨界融合，实现能源信息整合增值和商业模式创新。推进新型能源基础设施及相关服务平台发展，依托5G技术提供充电桩、光伏、路灯、加油站、园区等领域的能效管理、智能运维、需求响应、多能协同，推动综合能源业务拓展，构建数字能源生态圈。建设好重庆能源大数据中心，搭建覆盖能源供需各环节信息的国家级能源大数据平台，发挥大数据在能源行业宏观调控、产业发展、公共服务等领域的作用。</w:t>
      </w:r>
    </w:p>
    <w:p w14:paraId="51BD14CC">
      <w:pPr>
        <w:jc w:val="center"/>
        <w:rPr>
          <w:rFonts w:hint="eastAsia" w:eastAsia="方正黑体_GBK"/>
        </w:rPr>
      </w:pPr>
      <w:r>
        <w:rPr>
          <w:rFonts w:hint="eastAsia" w:eastAsia="方正黑体_GBK"/>
        </w:rPr>
        <w:t>专栏10  智慧能源重点项目</w:t>
      </w:r>
    </w:p>
    <w:p w14:paraId="27B9D8AD">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源：</w:t>
      </w:r>
      <w:r>
        <w:rPr>
          <w:rFonts w:hint="eastAsia" w:eastAsia="方正书宋_GBK"/>
          <w:sz w:val="24"/>
          <w:szCs w:val="24"/>
        </w:rPr>
        <w:t>推进涪陵页岩气等“智慧气田”建设，重庆东站片区智慧供能项目、珞璜“智慧”电厂建设。</w:t>
      </w:r>
    </w:p>
    <w:p w14:paraId="68D27A59">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网：</w:t>
      </w:r>
      <w:r>
        <w:rPr>
          <w:rFonts w:hint="eastAsia" w:eastAsia="方正书宋_GBK"/>
          <w:sz w:val="24"/>
          <w:szCs w:val="24"/>
        </w:rPr>
        <w:t>推进川气东送二线等新建管道智能化建设，老旧油气长输管道智能化改造；35千伏以上光纤网架和通信带宽提升。</w:t>
      </w:r>
    </w:p>
    <w:p w14:paraId="58F2642D">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储：</w:t>
      </w:r>
      <w:r>
        <w:rPr>
          <w:rFonts w:hint="eastAsia" w:eastAsia="方正书宋_GBK"/>
          <w:sz w:val="24"/>
          <w:szCs w:val="24"/>
        </w:rPr>
        <w:t>建设相国寺储气库智能储气库示范工程，高标准打造铜锣峡、黄草峡储气库智慧管理体系。</w:t>
      </w:r>
    </w:p>
    <w:p w14:paraId="64BCABDA">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多能互补和智慧能源：</w:t>
      </w:r>
      <w:r>
        <w:rPr>
          <w:rFonts w:hint="eastAsia" w:eastAsia="方正书宋_GBK"/>
          <w:sz w:val="24"/>
          <w:szCs w:val="24"/>
        </w:rPr>
        <w:t>建设西部科学城重庆高新区智慧能源项目、广阳岛清洁能源综合利用项目等智慧能源项目。</w:t>
      </w:r>
    </w:p>
    <w:p w14:paraId="4A7902D9">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大数据：</w:t>
      </w:r>
      <w:r>
        <w:rPr>
          <w:rFonts w:hint="eastAsia" w:eastAsia="方正书宋_GBK"/>
          <w:sz w:val="24"/>
          <w:szCs w:val="24"/>
        </w:rPr>
        <w:t>建设重庆能源大数据中心。</w:t>
      </w:r>
    </w:p>
    <w:p w14:paraId="3DF05DCF">
      <w:pPr>
        <w:adjustRightInd/>
        <w:spacing w:line="240" w:lineRule="auto"/>
        <w:ind w:firstLine="632" w:firstLineChars="200"/>
        <w:textAlignment w:val="auto"/>
        <w:rPr>
          <w:rFonts w:hint="eastAsia" w:eastAsia="方正楷体_GBK"/>
        </w:rPr>
      </w:pPr>
      <w:r>
        <w:rPr>
          <w:rFonts w:hint="eastAsia" w:eastAsia="方正楷体_GBK"/>
        </w:rPr>
        <w:t>（四）培育发展能源科技创新平台。</w:t>
      </w:r>
    </w:p>
    <w:p w14:paraId="0E76EB8B">
      <w:pPr>
        <w:adjustRightInd/>
        <w:spacing w:line="240" w:lineRule="auto"/>
        <w:ind w:firstLine="632" w:firstLineChars="200"/>
        <w:textAlignment w:val="auto"/>
        <w:rPr>
          <w:rFonts w:hint="eastAsia"/>
        </w:rPr>
      </w:pPr>
      <w:r>
        <w:rPr>
          <w:rFonts w:hint="eastAsia"/>
        </w:rPr>
        <w:t>加强能源科研能力建设，建立健全产学研用协同创新机制。聚焦页岩气、可再生能源、智慧能源、氢能等前沿领域技术研发，大力引进国内外知名能源研究机构落地重庆，支持企业、高校、科研院所联合组建院士工作站、重点实验室、科技研发中心、产业技术创新战略联盟等一体研发平台。加大油气、电力、氢能等重大技术攻关，攻关海相深层、常压页岩气和陆相页岩油气富集评价技术，开展二氧化碳捕集、封存与利用技术研究，力争形成一批国家和省部级能源科技进步成果。加快科技成果转移转化，推进能源领域首台（套）重大技术装备示范应用。</w:t>
      </w:r>
    </w:p>
    <w:p w14:paraId="7B752843">
      <w:pPr>
        <w:adjustRightInd/>
        <w:spacing w:line="240" w:lineRule="auto"/>
        <w:ind w:firstLine="632" w:firstLineChars="200"/>
        <w:textAlignment w:val="auto"/>
        <w:rPr>
          <w:rFonts w:hint="eastAsia"/>
        </w:rPr>
      </w:pPr>
    </w:p>
    <w:p w14:paraId="7082B31F">
      <w:pPr>
        <w:adjustRightInd/>
        <w:spacing w:line="240" w:lineRule="auto"/>
        <w:ind w:firstLine="632" w:firstLineChars="200"/>
        <w:textAlignment w:val="auto"/>
        <w:rPr>
          <w:rFonts w:hint="eastAsia"/>
        </w:rPr>
      </w:pPr>
    </w:p>
    <w:p w14:paraId="1740687D">
      <w:pPr>
        <w:adjustRightInd/>
        <w:spacing w:line="240" w:lineRule="auto"/>
        <w:ind w:firstLine="632" w:firstLineChars="200"/>
        <w:textAlignment w:val="auto"/>
        <w:rPr>
          <w:rFonts w:hint="eastAsia"/>
        </w:rPr>
      </w:pPr>
    </w:p>
    <w:p w14:paraId="709C7FE2">
      <w:pPr>
        <w:jc w:val="center"/>
        <w:rPr>
          <w:rFonts w:hint="eastAsia" w:eastAsia="方正黑体_GBK"/>
        </w:rPr>
      </w:pPr>
      <w:r>
        <w:rPr>
          <w:rFonts w:hint="eastAsia" w:eastAsia="方正黑体_GBK"/>
        </w:rPr>
        <w:t>专栏11  重大科技及重点研究平台</w:t>
      </w:r>
    </w:p>
    <w:p w14:paraId="39675976">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重点实验室：</w:t>
      </w:r>
      <w:r>
        <w:rPr>
          <w:rFonts w:hint="eastAsia" w:eastAsia="方正书宋_GBK"/>
          <w:sz w:val="24"/>
          <w:szCs w:val="24"/>
        </w:rPr>
        <w:t>做强输配电装备及系统安全与新技术、煤矿灾害动力学与控制等国家重点实验室，争创非常规油气等国家重点实验室。培育壮大输变电安全科学与电工新技术、复杂油气田勘探开发、绿色航空能源动力等市级重点实验室。</w:t>
      </w:r>
    </w:p>
    <w:p w14:paraId="1A1ECA42">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重点研究机构：</w:t>
      </w:r>
      <w:r>
        <w:rPr>
          <w:rFonts w:hint="eastAsia" w:eastAsia="方正书宋_GBK"/>
          <w:sz w:val="24"/>
          <w:szCs w:val="24"/>
        </w:rPr>
        <w:t>争创国家页岩气技术创新中心，引进和加快页岩气勘探开发、海上风力发电、氢能动力等研究机构建设。</w:t>
      </w:r>
    </w:p>
    <w:p w14:paraId="55F3D371">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重大技术攻关：</w:t>
      </w:r>
      <w:r>
        <w:rPr>
          <w:rFonts w:hint="eastAsia" w:eastAsia="方正书宋_GBK"/>
          <w:sz w:val="24"/>
          <w:szCs w:val="24"/>
        </w:rPr>
        <w:t>力争突破侏罗系陆相页岩油气开发，页岩气立体开发技术，深层、长水平段优快钻井技术，储气库跨层系扩容建设技术；开展海上大兆瓦风电机组装备研发；开展二氧化碳捕集、封存与利用技术攻关；开展氢燃料电池动力系统、电堆、关键材料和关键零部件攻关。</w:t>
      </w:r>
    </w:p>
    <w:p w14:paraId="2CFE435F">
      <w:pPr>
        <w:adjustRightInd/>
        <w:spacing w:line="240" w:lineRule="auto"/>
        <w:ind w:firstLine="632" w:firstLineChars="200"/>
        <w:textAlignment w:val="auto"/>
        <w:rPr>
          <w:rFonts w:hint="eastAsia" w:eastAsia="方正黑体_GBK"/>
        </w:rPr>
      </w:pPr>
      <w:r>
        <w:rPr>
          <w:rFonts w:hint="eastAsia" w:eastAsia="方正黑体_GBK"/>
        </w:rPr>
        <w:t>六、推动重点领域能源体制改革</w:t>
      </w:r>
    </w:p>
    <w:p w14:paraId="371E8FD3">
      <w:pPr>
        <w:adjustRightInd/>
        <w:spacing w:line="240" w:lineRule="auto"/>
        <w:ind w:firstLine="632" w:firstLineChars="200"/>
        <w:textAlignment w:val="auto"/>
        <w:rPr>
          <w:rFonts w:hint="eastAsia"/>
        </w:rPr>
      </w:pPr>
      <w:r>
        <w:rPr>
          <w:rFonts w:hint="eastAsia"/>
        </w:rPr>
        <w:t>深化重点领域和关键环节市场化改革，破除妨碍发展的体制机制障碍，提高能源配置效率和公平性，为推进能源高质量发展提供制度保障。</w:t>
      </w:r>
    </w:p>
    <w:p w14:paraId="4208EF95">
      <w:pPr>
        <w:adjustRightInd/>
        <w:spacing w:line="240" w:lineRule="auto"/>
        <w:ind w:firstLine="632" w:firstLineChars="200"/>
        <w:textAlignment w:val="auto"/>
        <w:rPr>
          <w:rFonts w:hint="eastAsia" w:eastAsia="方正楷体_GBK"/>
        </w:rPr>
      </w:pPr>
      <w:r>
        <w:rPr>
          <w:rFonts w:hint="eastAsia" w:eastAsia="方正楷体_GBK"/>
        </w:rPr>
        <w:t>（一）推动电力体制改革。</w:t>
      </w:r>
    </w:p>
    <w:p w14:paraId="2E7B482B">
      <w:pPr>
        <w:adjustRightInd/>
        <w:spacing w:line="240" w:lineRule="auto"/>
        <w:ind w:firstLine="632" w:firstLineChars="200"/>
        <w:textAlignment w:val="auto"/>
        <w:rPr>
          <w:rFonts w:hint="eastAsia"/>
        </w:rPr>
      </w:pPr>
      <w:r>
        <w:rPr>
          <w:rFonts w:hint="eastAsia"/>
        </w:rPr>
        <w:t>深化配售电改革，完善售电主体准入和退出机制，向社会资本放开售电和增量配电业务，有序推进增量配电业务试点项目，加快存量试点项目供区划分。建立市场化电力电量平衡机制，放开发用电计划。推进电力辅助服务市场化，推动储能、调峰作为独立主体参与电力辅助服务市场。建立可再生能源电力消纳保障制度，健全分布式电源发电新机制，推动电网公平接入。推进新能源“隔墙售电”就近交易，积极探索分布式发电市场化交易，逐步规范交易流程，扩大交易规模。健全调峰补偿机制，探索容量电价，合理疏导应急备用及调峰电源建设成本。</w:t>
      </w:r>
    </w:p>
    <w:p w14:paraId="657F6A89">
      <w:pPr>
        <w:adjustRightInd/>
        <w:spacing w:line="240" w:lineRule="auto"/>
        <w:ind w:firstLine="632" w:firstLineChars="200"/>
        <w:textAlignment w:val="auto"/>
        <w:rPr>
          <w:rFonts w:hint="eastAsia" w:eastAsia="方正楷体_GBK"/>
        </w:rPr>
      </w:pPr>
      <w:r>
        <w:rPr>
          <w:rFonts w:hint="eastAsia" w:eastAsia="方正楷体_GBK"/>
        </w:rPr>
        <w:t>（二）推动油气体制改革。</w:t>
      </w:r>
    </w:p>
    <w:p w14:paraId="0000D23B">
      <w:pPr>
        <w:adjustRightInd/>
        <w:spacing w:line="240" w:lineRule="auto"/>
        <w:ind w:firstLine="632" w:firstLineChars="200"/>
        <w:textAlignment w:val="auto"/>
        <w:rPr>
          <w:rFonts w:hint="eastAsia"/>
        </w:rPr>
      </w:pPr>
      <w:r>
        <w:rPr>
          <w:rFonts w:hint="eastAsia"/>
        </w:rPr>
        <w:t>鼓励引导各类资本进入上游勘探开发市场，支持页岩气矿权流转，全面实施区块竞争性出让，激发页岩气勘查开采的市场活力。完善天然气（页岩气）利益共享机制，推动与央企合资合作。规范天然气管网建设和运营，整治和清理违法项目和“背靠背”不</w:t>
      </w:r>
      <w:r>
        <w:rPr>
          <w:rFonts w:hint="eastAsia"/>
          <w:spacing w:val="-4"/>
        </w:rPr>
        <w:t>合理加价行为。全面落实油气管道等基础设施向第三方公平开放，</w:t>
      </w:r>
      <w:r>
        <w:rPr>
          <w:rFonts w:hint="eastAsia"/>
        </w:rPr>
        <w:t>研究天然气管网设施托运商制度，探索建立管网运行统一调度机制，推动“多气源”供气。推动储气设施独立运行，建立储气库气量和储气服务市场化交易机制。</w:t>
      </w:r>
    </w:p>
    <w:p w14:paraId="7436DD09">
      <w:pPr>
        <w:adjustRightInd/>
        <w:spacing w:line="240" w:lineRule="auto"/>
        <w:ind w:firstLine="632" w:firstLineChars="200"/>
        <w:textAlignment w:val="auto"/>
        <w:rPr>
          <w:rFonts w:hint="eastAsia" w:eastAsia="方正楷体_GBK"/>
        </w:rPr>
      </w:pPr>
      <w:r>
        <w:rPr>
          <w:rFonts w:hint="eastAsia" w:eastAsia="方正楷体_GBK"/>
        </w:rPr>
        <w:t>（三）深化能源价格改革。</w:t>
      </w:r>
    </w:p>
    <w:p w14:paraId="4C5E5594">
      <w:pPr>
        <w:adjustRightInd/>
        <w:spacing w:line="240" w:lineRule="auto"/>
        <w:ind w:firstLine="632" w:firstLineChars="200"/>
        <w:textAlignment w:val="auto"/>
        <w:rPr>
          <w:rFonts w:hint="eastAsia"/>
        </w:rPr>
      </w:pPr>
      <w:r>
        <w:rPr>
          <w:rFonts w:hint="eastAsia"/>
        </w:rPr>
        <w:t>按照“管住中间、放开两头”改革总体思路，推进电力、天然气等能源价格改革。稳妥推进电力、天然气价格交叉补贴改革。深化输配电价改革，有序放开竞争性环节电价，加强对市场价格的事中事后监管，规范价格行为。优化峰谷电价政策，引导电力</w:t>
      </w:r>
      <w:r>
        <w:rPr>
          <w:rFonts w:hint="eastAsia"/>
          <w:spacing w:val="-4"/>
        </w:rPr>
        <w:t>需求侧管理，争取到2025年需求侧响应能力达到最大用电负荷的</w:t>
      </w:r>
      <w:r>
        <w:rPr>
          <w:rFonts w:hint="eastAsia"/>
        </w:rPr>
        <w:t>3%以上。按照“准许成本加合理收益”原则，合理制定天然气管网输配价格。完成天然气管网输配价格管理和成本监审，合理制定天然气管道运输价格。建立健全天然气上下游价格传导机制，推进非居民用气价格市场化。</w:t>
      </w:r>
    </w:p>
    <w:p w14:paraId="3D12CF63">
      <w:pPr>
        <w:adjustRightInd/>
        <w:spacing w:line="240" w:lineRule="auto"/>
        <w:ind w:firstLine="632" w:firstLineChars="200"/>
        <w:textAlignment w:val="auto"/>
        <w:rPr>
          <w:rFonts w:hint="eastAsia" w:eastAsia="方正楷体_GBK"/>
        </w:rPr>
      </w:pPr>
      <w:r>
        <w:rPr>
          <w:rFonts w:hint="eastAsia" w:eastAsia="方正楷体_GBK"/>
        </w:rPr>
        <w:t>（四）推动能源要素市场建设。</w:t>
      </w:r>
    </w:p>
    <w:p w14:paraId="42A3141C">
      <w:pPr>
        <w:adjustRightInd/>
        <w:spacing w:line="240" w:lineRule="auto"/>
        <w:ind w:firstLine="632" w:firstLineChars="200"/>
        <w:textAlignment w:val="auto"/>
        <w:rPr>
          <w:rFonts w:hint="eastAsia"/>
        </w:rPr>
      </w:pPr>
      <w:r>
        <w:rPr>
          <w:rFonts w:hint="eastAsia"/>
        </w:rPr>
        <w:t>扩大天然气市场交易规模。充分发挥重庆石油天然气交易中心作用，推动逐步形成反映全国市场供需、具有国际影响力的天然气价格基准。支持开展天然气、成品油及其他化工品等产品交易，完善交易功能，创新交易模式，扩大交易规模。开展本地页岩气、储气服务、调峰气上线交易，率先在全国建立储气库价格基准。</w:t>
      </w:r>
    </w:p>
    <w:p w14:paraId="34F4ED96">
      <w:pPr>
        <w:adjustRightInd/>
        <w:spacing w:line="240" w:lineRule="auto"/>
        <w:ind w:firstLine="632" w:firstLineChars="200"/>
        <w:textAlignment w:val="auto"/>
        <w:rPr>
          <w:rFonts w:hint="eastAsia"/>
        </w:rPr>
      </w:pPr>
      <w:r>
        <w:rPr>
          <w:rFonts w:hint="eastAsia"/>
        </w:rPr>
        <w:t>推进电力交易市场发展。有序推进电力交易中心独立规范运行，扎实做好股权优化调整。扩大参与电力市场用户范围，推进各类市场主体公平参与市场交易。推进电力现货市场建设研究，统筹协调电力辅助服务市场与现货市场。深化电力中长期交易机制，修订交易规则，增加市场主体，丰富交易品种，优化交易流程，提高交易频次。</w:t>
      </w:r>
    </w:p>
    <w:p w14:paraId="532CFE8D">
      <w:pPr>
        <w:adjustRightInd/>
        <w:spacing w:line="240" w:lineRule="auto"/>
        <w:ind w:firstLine="632" w:firstLineChars="200"/>
        <w:textAlignment w:val="auto"/>
        <w:rPr>
          <w:rFonts w:hint="eastAsia" w:eastAsia="方正楷体_GBK"/>
        </w:rPr>
      </w:pPr>
      <w:r>
        <w:rPr>
          <w:rFonts w:hint="eastAsia" w:eastAsia="方正楷体_GBK"/>
        </w:rPr>
        <w:t>（五）提升能源综合治理能力。</w:t>
      </w:r>
    </w:p>
    <w:p w14:paraId="01F6800D">
      <w:pPr>
        <w:adjustRightInd/>
        <w:spacing w:line="240" w:lineRule="auto"/>
        <w:ind w:firstLine="632" w:firstLineChars="200"/>
        <w:textAlignment w:val="auto"/>
        <w:rPr>
          <w:rFonts w:hint="eastAsia"/>
        </w:rPr>
      </w:pPr>
      <w:r>
        <w:rPr>
          <w:rFonts w:hint="eastAsia"/>
        </w:rPr>
        <w:t>加强能源行业监管和服务，深化“放管服”改革，实行“阳光审批”，强化规划和政策引导。优化能源营商环境，对标国际先进水平，进一步缩短企业获得电力时间，稳定用能供给，降低用能成本。加强能源行业监管，有效开展能源开发建设、市场交易、价格成本、油气管网设施公平开放及能源消费等环节的监管工作。完善以事中事后监管为重点、以信用为基础的新型监管机制，推行“双随机、一公开”监管模式，确保能源规划、政策、项目有效落地。进一步理顺能源监管职责，完善协调机制，建立健全权责清晰的现代能源监管体系。</w:t>
      </w:r>
    </w:p>
    <w:p w14:paraId="18C16E2A">
      <w:pPr>
        <w:adjustRightInd/>
        <w:spacing w:line="240" w:lineRule="auto"/>
        <w:ind w:firstLine="632" w:firstLineChars="200"/>
        <w:textAlignment w:val="auto"/>
        <w:rPr>
          <w:rFonts w:hint="eastAsia" w:eastAsia="方正黑体_GBK"/>
        </w:rPr>
      </w:pPr>
      <w:r>
        <w:rPr>
          <w:rFonts w:hint="eastAsia" w:eastAsia="方正黑体_GBK"/>
        </w:rPr>
        <w:t>七、构建互利共赢的能源合作体系</w:t>
      </w:r>
    </w:p>
    <w:p w14:paraId="4909002E">
      <w:pPr>
        <w:adjustRightInd/>
        <w:spacing w:line="240" w:lineRule="auto"/>
        <w:ind w:firstLine="632" w:firstLineChars="200"/>
        <w:textAlignment w:val="auto"/>
        <w:rPr>
          <w:rFonts w:hint="eastAsia"/>
        </w:rPr>
      </w:pPr>
      <w:r>
        <w:rPr>
          <w:rFonts w:hint="eastAsia"/>
        </w:rPr>
        <w:t>积极落实国家区域发展战略，主动融入国内国际双循环，加强能源资源对接，建立长期稳固、开放共赢的合作关系，努力实现开放条件下的能源安全。</w:t>
      </w:r>
    </w:p>
    <w:p w14:paraId="00C2E3EF">
      <w:pPr>
        <w:adjustRightInd/>
        <w:spacing w:line="240" w:lineRule="auto"/>
        <w:ind w:firstLine="632" w:firstLineChars="200"/>
        <w:textAlignment w:val="auto"/>
        <w:rPr>
          <w:rFonts w:hint="eastAsia" w:eastAsia="方正楷体_GBK"/>
        </w:rPr>
      </w:pPr>
      <w:r>
        <w:rPr>
          <w:rFonts w:hint="eastAsia" w:eastAsia="方正楷体_GBK"/>
        </w:rPr>
        <w:t>（一）强化成渝地区双城经济圈能源合作。</w:t>
      </w:r>
    </w:p>
    <w:p w14:paraId="7BBDDF7F">
      <w:pPr>
        <w:adjustRightInd/>
        <w:spacing w:line="240" w:lineRule="auto"/>
        <w:ind w:firstLine="632" w:firstLineChars="200"/>
        <w:textAlignment w:val="auto"/>
        <w:rPr>
          <w:rFonts w:hint="eastAsia"/>
        </w:rPr>
      </w:pPr>
      <w:r>
        <w:rPr>
          <w:rFonts w:hint="eastAsia"/>
        </w:rPr>
        <w:t>加强电力协同保障。共同争取白鹤滩等大型水电站更多电量留存川渝电网消纳。发挥川渝两地电力供需、电源结构互补特性，指导两省市电力市场主体加强中长期电力合作，推进川渝电网一体化建设。围绕川东北渝东北地区一体化发展、成渝中部地区协同发展、川南渝西地区融合发展建设要求，科学推进220千伏及以下电网布局和联网工程。探索建立川渝两地电力交易机构工作融合机制，共同培育发展电力现货市场、川渝一体化电力辅助服务市场，推进电力市场化交易。</w:t>
      </w:r>
    </w:p>
    <w:p w14:paraId="52DFDA22">
      <w:pPr>
        <w:adjustRightInd/>
        <w:spacing w:line="240" w:lineRule="auto"/>
        <w:ind w:firstLine="632" w:firstLineChars="200"/>
        <w:textAlignment w:val="auto"/>
        <w:rPr>
          <w:rFonts w:hint="eastAsia"/>
        </w:rPr>
      </w:pPr>
      <w:r>
        <w:rPr>
          <w:rFonts w:hint="eastAsia"/>
        </w:rPr>
        <w:t>推进川渝天然气中心市场建设。发挥川渝地区天然气资源丰富、消费活跃、管网调度灵活、市场联通范围广、价格传导性强的优势，以重庆石油天然气交易中心为平台，建设全国性天然气中心市场。加快实施四川盆地“气大庆”工程，推进川渝地区天然气资源勘探开发，推动油气管网互联互通，推进储气调峰设施建设，形成以跨省市管网为骨干、储气库基地为中枢、区域支线为辐射的蛛网式管网格局。</w:t>
      </w:r>
    </w:p>
    <w:p w14:paraId="7EE5E397">
      <w:pPr>
        <w:adjustRightInd/>
        <w:spacing w:line="240" w:lineRule="auto"/>
        <w:ind w:firstLine="632" w:firstLineChars="200"/>
        <w:textAlignment w:val="auto"/>
        <w:rPr>
          <w:rFonts w:hint="eastAsia"/>
        </w:rPr>
      </w:pPr>
      <w:r>
        <w:rPr>
          <w:rFonts w:hint="eastAsia"/>
        </w:rPr>
        <w:t>加强煤炭跨区域合作。推动陕晋蒙、新甘宁东西两线铁路通道运力完善工程，增强北煤入川渝运输能力。推动在川渝地区主要煤炭消费区域以及运输通道关键节点建立煤炭储备基地。建立川渝区域煤炭产供储销信息共享机制、区域外煤炭调入和运输沟通协调机制。</w:t>
      </w:r>
    </w:p>
    <w:p w14:paraId="3B85932D">
      <w:pPr>
        <w:adjustRightInd/>
        <w:spacing w:line="240" w:lineRule="auto"/>
        <w:ind w:firstLine="632" w:firstLineChars="200"/>
        <w:textAlignment w:val="auto"/>
        <w:rPr>
          <w:rFonts w:hint="eastAsia"/>
        </w:rPr>
      </w:pPr>
      <w:r>
        <w:rPr>
          <w:rFonts w:hint="eastAsia"/>
        </w:rPr>
        <w:t>实现成品油应急储备共享互保。建立川渝区域成品油市场监控信息共享机制，增强市场监控和应急处置能力。以四川石化和两省市成品油储备为基础，建立成品油应急储备共享互保机制，稳定市场供应。</w:t>
      </w:r>
    </w:p>
    <w:p w14:paraId="5B9A25D0">
      <w:pPr>
        <w:adjustRightInd/>
        <w:spacing w:line="240" w:lineRule="auto"/>
        <w:ind w:firstLine="632" w:firstLineChars="200"/>
        <w:textAlignment w:val="auto"/>
        <w:rPr>
          <w:rFonts w:hint="eastAsia"/>
        </w:rPr>
      </w:pPr>
      <w:r>
        <w:rPr>
          <w:rFonts w:hint="eastAsia"/>
        </w:rPr>
        <w:t>加快推动成渝氢走廊建设。争取燃料电池汽车示范城市群政策落地成渝地区，联动带动中西部燃料电池汽车技术和产业创新发展，推动未来社会清洁能源和动力转型。促进以重庆主城都市区和成都都市圈为龙头的产业先行城市的氢能产业发展，助力成渝之间走廊城市的氢能产业布局。支持在渝蓉、成渝、渝万等高速公路沿线布局建设加氢站，加快打造氢燃料电池物流车城际示范线。</w:t>
      </w:r>
    </w:p>
    <w:p w14:paraId="32A0D7AA">
      <w:pPr>
        <w:adjustRightInd/>
        <w:spacing w:line="240" w:lineRule="auto"/>
        <w:ind w:firstLine="632" w:firstLineChars="200"/>
        <w:textAlignment w:val="auto"/>
        <w:rPr>
          <w:rFonts w:hint="eastAsia" w:eastAsia="方正楷体_GBK"/>
        </w:rPr>
      </w:pPr>
      <w:r>
        <w:rPr>
          <w:rFonts w:hint="eastAsia" w:eastAsia="方正楷体_GBK"/>
        </w:rPr>
        <w:t>（二）努力扩大能源合作范围。</w:t>
      </w:r>
    </w:p>
    <w:p w14:paraId="6C49ED8F">
      <w:pPr>
        <w:adjustRightInd/>
        <w:spacing w:line="240" w:lineRule="auto"/>
        <w:ind w:firstLine="632" w:firstLineChars="200"/>
        <w:textAlignment w:val="auto"/>
        <w:rPr>
          <w:rFonts w:hint="eastAsia"/>
        </w:rPr>
      </w:pPr>
      <w:r>
        <w:rPr>
          <w:rFonts w:hint="eastAsia"/>
        </w:rPr>
        <w:t>拓展区域能源合作。深化疆渝电力合作，共同推进配套电源开发。强化黔渝两地能源合作，争取习水二郎电厂长期纳入贵州省网内机组电煤保障统调范围，支持重庆企业参与贵州毕水兴煤层气产业化基地建设，协同推进綦江、习水、正安、岑巩页岩气的智能化勘探、开采和利用，推进渝黔电力市场化交易。加强藏渝电力合作，启动配套电源、输电通道、送电曲线等相关前期论证工作，适时争取纳入国家规划，扩大藏电入渝规模。进一步加大与甘肃、宁夏、青海、内蒙古、山西等能源资源大省（区）合作力度，加快开展“外电入渝”第二通道研究，为中长期电力、煤炭需求提供长效支撑。推动与周边省市和毗邻地区的能源产业协作共兴，围绕能源供需、能源装备、新能源等开展深度合作，推进产业集群化、融合化、智能化发展，促进产业链上下游分工协作。</w:t>
      </w:r>
    </w:p>
    <w:p w14:paraId="749ECF5A">
      <w:pPr>
        <w:adjustRightInd/>
        <w:spacing w:line="240" w:lineRule="auto"/>
        <w:ind w:firstLine="632" w:firstLineChars="200"/>
        <w:textAlignment w:val="auto"/>
        <w:rPr>
          <w:rFonts w:hint="eastAsia"/>
        </w:rPr>
      </w:pPr>
      <w:r>
        <w:rPr>
          <w:rFonts w:hint="eastAsia"/>
        </w:rPr>
        <w:t>加强与大型能源企业合作。深化央地共建能源项目模式，进一步优化能源生产、利用、销售、税收合理分配机制，争取更多的国家能源战略项目落户重庆。加强与产煤省（区）大型煤炭企业集团战略合作，进一步落实煤源。加大资金、人才等支持力度，推动能源研究机构、智库建设，开展国际国内交流合作。鼓励开展能源领域的信息交流和培训活动，吸引国内外具有优势的能源企业、能源融资公司、能源服务机构向重庆集聚。</w:t>
      </w:r>
    </w:p>
    <w:p w14:paraId="5F5172D3">
      <w:pPr>
        <w:adjustRightInd/>
        <w:spacing w:line="240" w:lineRule="auto"/>
        <w:ind w:firstLine="632" w:firstLineChars="200"/>
        <w:textAlignment w:val="auto"/>
        <w:rPr>
          <w:rFonts w:hint="eastAsia" w:eastAsia="方正黑体_GBK"/>
        </w:rPr>
      </w:pPr>
      <w:r>
        <w:rPr>
          <w:rFonts w:hint="eastAsia" w:eastAsia="方正黑体_GBK"/>
        </w:rPr>
        <w:t>八、保障措施</w:t>
      </w:r>
    </w:p>
    <w:p w14:paraId="7DE1D8AD">
      <w:pPr>
        <w:adjustRightInd/>
        <w:spacing w:line="240" w:lineRule="auto"/>
        <w:ind w:firstLine="632" w:firstLineChars="200"/>
        <w:textAlignment w:val="auto"/>
        <w:rPr>
          <w:rFonts w:hint="eastAsia" w:eastAsia="方正楷体_GBK"/>
        </w:rPr>
      </w:pPr>
      <w:r>
        <w:rPr>
          <w:rFonts w:hint="eastAsia" w:eastAsia="方正楷体_GBK"/>
        </w:rPr>
        <w:t>（一）加强统筹协调。</w:t>
      </w:r>
    </w:p>
    <w:p w14:paraId="04F8B167">
      <w:pPr>
        <w:adjustRightInd/>
        <w:spacing w:line="240" w:lineRule="auto"/>
        <w:ind w:firstLine="632" w:firstLineChars="200"/>
        <w:textAlignment w:val="auto"/>
        <w:rPr>
          <w:rFonts w:hint="eastAsia"/>
        </w:rPr>
      </w:pPr>
      <w:r>
        <w:rPr>
          <w:rFonts w:hint="eastAsia"/>
        </w:rPr>
        <w:t>坚持党对能源工作的全面领导，加强政治引领。强化战略导向，落实国家能源战略，加强能源规划与国家能源法律法规、规</w:t>
      </w:r>
      <w:r>
        <w:rPr>
          <w:rFonts w:hint="eastAsia"/>
          <w:spacing w:val="-6"/>
        </w:rPr>
        <w:t>划、政策的衔接。充分发挥重庆市能源保障工作联席会议制度作用，</w:t>
      </w:r>
      <w:r>
        <w:rPr>
          <w:rFonts w:hint="eastAsia"/>
          <w:spacing w:val="-4"/>
        </w:rPr>
        <w:t>统筹推进全市能源规划实施工作，推动各项目标任务落地见效。</w:t>
      </w:r>
    </w:p>
    <w:p w14:paraId="084152CB">
      <w:pPr>
        <w:adjustRightInd/>
        <w:spacing w:line="240" w:lineRule="auto"/>
        <w:ind w:firstLine="632" w:firstLineChars="200"/>
        <w:textAlignment w:val="auto"/>
        <w:rPr>
          <w:rFonts w:hint="eastAsia" w:eastAsia="方正楷体_GBK"/>
        </w:rPr>
      </w:pPr>
      <w:r>
        <w:rPr>
          <w:rFonts w:hint="eastAsia" w:eastAsia="方正楷体_GBK"/>
        </w:rPr>
        <w:t>（二）强化规划实施。</w:t>
      </w:r>
    </w:p>
    <w:p w14:paraId="76B83768">
      <w:pPr>
        <w:adjustRightInd/>
        <w:spacing w:line="240" w:lineRule="auto"/>
        <w:ind w:firstLine="632" w:firstLineChars="200"/>
        <w:textAlignment w:val="auto"/>
        <w:rPr>
          <w:rFonts w:hint="eastAsia"/>
        </w:rPr>
      </w:pPr>
      <w:r>
        <w:rPr>
          <w:rFonts w:hint="eastAsia"/>
        </w:rPr>
        <w:t>结合国家现代能源体系规划及相关要求，制定具体工作方案，建立本规划实施工作机制，分解落实重要目标、重点任务，推进实施重大工程、重点项目，围绕约束性指标制定年度工作计划、分年度逐级下达落实。建立规划与项目一体化管理机制，以规划为依据推进能源项目建设。加强规划动态管理，开展规划实施情况动态监测、中期评估和总结评估。严格执行规划调整程序，及时向社会公开规划制定和调整情况，充分发挥社会舆论监督作用。</w:t>
      </w:r>
    </w:p>
    <w:p w14:paraId="045B4CEB">
      <w:pPr>
        <w:adjustRightInd/>
        <w:spacing w:line="240" w:lineRule="auto"/>
        <w:ind w:firstLine="632" w:firstLineChars="200"/>
        <w:textAlignment w:val="auto"/>
        <w:rPr>
          <w:rFonts w:hint="eastAsia" w:eastAsia="方正楷体_GBK"/>
        </w:rPr>
      </w:pPr>
      <w:r>
        <w:rPr>
          <w:rFonts w:hint="eastAsia" w:eastAsia="方正楷体_GBK"/>
        </w:rPr>
        <w:t>（三）加强宣传引导。</w:t>
      </w:r>
    </w:p>
    <w:p w14:paraId="5A20DE66">
      <w:pPr>
        <w:adjustRightInd/>
        <w:spacing w:line="240" w:lineRule="auto"/>
        <w:ind w:firstLine="632" w:firstLineChars="200"/>
        <w:textAlignment w:val="auto"/>
        <w:rPr>
          <w:rFonts w:hint="eastAsia"/>
        </w:rPr>
      </w:pPr>
      <w:r>
        <w:rPr>
          <w:rFonts w:hint="eastAsia"/>
        </w:rPr>
        <w:t>积极动员社会各方力量，开展新闻宣传、政策解读和教育普及。完善公众参与机制，加强信息公开，提高社会大众对能源规划实施、促进能源高质量发展的认知、支持和参与的积极性。注重舆论引导，回应社会关切，传递助推能源高质量发展的好声音和正能量。</w:t>
      </w:r>
    </w:p>
    <w:p w14:paraId="3A592B48">
      <w:pPr>
        <w:adjustRightInd/>
        <w:spacing w:line="240" w:lineRule="auto"/>
        <w:ind w:firstLine="632" w:firstLineChars="200"/>
        <w:textAlignment w:val="auto"/>
        <w:rPr>
          <w:rFonts w:hint="eastAsia" w:eastAsia="方正黑体_GBK"/>
        </w:rPr>
      </w:pPr>
      <w:r>
        <w:rPr>
          <w:rFonts w:hint="eastAsia" w:eastAsia="方正黑体_GBK"/>
        </w:rPr>
        <w:t>九、环境影响评价</w:t>
      </w:r>
    </w:p>
    <w:p w14:paraId="06A24159">
      <w:pPr>
        <w:adjustRightInd/>
        <w:spacing w:line="240" w:lineRule="auto"/>
        <w:ind w:firstLine="632" w:firstLineChars="200"/>
        <w:textAlignment w:val="auto"/>
        <w:rPr>
          <w:rFonts w:hint="eastAsia" w:eastAsia="方正楷体_GBK"/>
        </w:rPr>
      </w:pPr>
      <w:r>
        <w:rPr>
          <w:rFonts w:hint="eastAsia" w:eastAsia="方正楷体_GBK"/>
        </w:rPr>
        <w:t>（一）规划实施的环境影响分析。</w:t>
      </w:r>
    </w:p>
    <w:p w14:paraId="5C1C6B4B">
      <w:pPr>
        <w:adjustRightInd/>
        <w:spacing w:line="240" w:lineRule="auto"/>
        <w:ind w:firstLine="632" w:firstLineChars="200"/>
        <w:textAlignment w:val="auto"/>
        <w:rPr>
          <w:rFonts w:hint="eastAsia"/>
        </w:rPr>
      </w:pPr>
      <w:r>
        <w:rPr>
          <w:rFonts w:hint="eastAsia"/>
        </w:rPr>
        <w:t>“十四五”期间，全市能源发展从注重资源开发向完善能源通道、储存体系和综合利用方向转变，能源结构更优化，能源利用更清洁。具体措施包括引进先进节能设备，提高能源利用效率；推动多能互补梯级利用，推广分布式能源；因地制宜发展风能、太阳能、生物质能等非化石能源，推广实施燃煤替代、以气代油、</w:t>
      </w:r>
      <w:r>
        <w:rPr>
          <w:rFonts w:hint="eastAsia"/>
          <w:spacing w:val="-4"/>
        </w:rPr>
        <w:t>以电代油。能耗强度将由2020年0.391吨标准煤/万元下降到2025</w:t>
      </w:r>
      <w:r>
        <w:rPr>
          <w:rFonts w:hint="eastAsia"/>
        </w:rPr>
        <w:t>年0.334吨标准煤/万元左右。</w:t>
      </w:r>
    </w:p>
    <w:p w14:paraId="5CFE7A39">
      <w:pPr>
        <w:adjustRightInd/>
        <w:spacing w:line="240" w:lineRule="auto"/>
        <w:ind w:firstLine="632" w:firstLineChars="200"/>
        <w:textAlignment w:val="auto"/>
        <w:rPr>
          <w:rFonts w:hint="eastAsia"/>
        </w:rPr>
      </w:pPr>
      <w:r>
        <w:rPr>
          <w:rFonts w:hint="eastAsia"/>
        </w:rPr>
        <w:t>本规划的实施不会对区域环境空气质量、水环境造成明显不良影响，规划实施产生的固体废物不会对环境造成不良影响。大气环境承载能力方面，本规划包含的风电、光电等清洁能源和可再生能源建设项目，除燃煤电厂、油气项目排放大气污染物外，其他项目运营过程中均不产生大气污染物，且燃煤电厂实施削减方案，全市大气环境容量满足项目排放量。随着规划实施，逐步改变能源结构，实现污染物总量削减，将进一步增加环境容量，改善环境质量。到“十四五”末排放总量明显削减，可有效减轻我市大气环境承载压力，改善环境空气质量。水环境承载能力方面，我市水质量环境总体保持良好态势，水环境容量能够支持本规划的实施。规划包含的项目，除生活污水外，基本无废水排放，主要废水污染物（COD、氨氮）的环境容量总体上可以满足规划实施后新增的污染物排放量，不会对水环境承载能力造成影响。矿产资源承载能力方面，我市能源发展依托的重点矿产资源，与本规划确定的产业发展需求相匹配，通过发挥就近资源优势和依靠外部资源渠道，能源供给可以保证规划目标的实现。</w:t>
      </w:r>
    </w:p>
    <w:p w14:paraId="2605E8C7">
      <w:pPr>
        <w:adjustRightInd/>
        <w:spacing w:line="240" w:lineRule="auto"/>
        <w:ind w:firstLine="632" w:firstLineChars="200"/>
        <w:textAlignment w:val="auto"/>
        <w:rPr>
          <w:rFonts w:hint="eastAsia" w:eastAsia="方正楷体_GBK"/>
        </w:rPr>
      </w:pPr>
      <w:r>
        <w:rPr>
          <w:rFonts w:hint="eastAsia" w:eastAsia="方正楷体_GBK"/>
        </w:rPr>
        <w:t>（二）规划实施的环境保护措施。</w:t>
      </w:r>
    </w:p>
    <w:p w14:paraId="29DC18BD">
      <w:pPr>
        <w:adjustRightInd/>
        <w:spacing w:line="240" w:lineRule="auto"/>
        <w:ind w:firstLine="632" w:firstLineChars="200"/>
        <w:textAlignment w:val="auto"/>
        <w:rPr>
          <w:rFonts w:hint="eastAsia"/>
        </w:rPr>
      </w:pPr>
      <w:r>
        <w:rPr>
          <w:rFonts w:hint="eastAsia"/>
        </w:rPr>
        <w:t>严格管控能源开发利用、生产转化、运输储存、通道建设等过程，预防和减少不良环境影响。</w:t>
      </w:r>
    </w:p>
    <w:p w14:paraId="2FB0410B">
      <w:pPr>
        <w:adjustRightInd/>
        <w:spacing w:line="240" w:lineRule="auto"/>
        <w:ind w:firstLine="632" w:firstLineChars="200"/>
        <w:textAlignment w:val="auto"/>
        <w:rPr>
          <w:rFonts w:hint="eastAsia"/>
        </w:rPr>
      </w:pPr>
      <w:r>
        <w:rPr>
          <w:rFonts w:hint="eastAsia"/>
        </w:rPr>
        <w:t>强化能源开发利用中的环境保护。积极解决煤矿积存尾矿等问题，做好土地复垦、塌陷地整治利用和水土流失防治工作。推进油田伴生气等伴生资源利用。优化风电机组布局、合理安排风机距离，降低噪音和电磁辐射等环境影响。推动重点耗能企业节能减排，推动工业余热、余气、余压和废渣资源二次利用。推广建设综合能源供给站，减少土地占用。</w:t>
      </w:r>
    </w:p>
    <w:p w14:paraId="52A4F948">
      <w:pPr>
        <w:adjustRightInd/>
        <w:spacing w:line="240" w:lineRule="auto"/>
        <w:ind w:firstLine="632" w:firstLineChars="200"/>
        <w:textAlignment w:val="auto"/>
        <w:rPr>
          <w:rFonts w:hint="eastAsia"/>
        </w:rPr>
      </w:pPr>
      <w:r>
        <w:rPr>
          <w:rFonts w:hint="eastAsia"/>
        </w:rPr>
        <w:t>强化能源生产转化中的环境保护。加强能源项目节能评估审查。加强煤渣（灰）和脱硫脱硝副产物的处置利用，减少对土壤、水体的影响。推动落实电力企业等排污主体的环境责任，引导其增强自主减排动力。</w:t>
      </w:r>
    </w:p>
    <w:p w14:paraId="6729F9F8">
      <w:pPr>
        <w:adjustRightInd/>
        <w:spacing w:line="240" w:lineRule="auto"/>
        <w:ind w:firstLine="632" w:firstLineChars="200"/>
        <w:textAlignment w:val="auto"/>
        <w:rPr>
          <w:rFonts w:hint="eastAsia"/>
        </w:rPr>
      </w:pPr>
      <w:r>
        <w:rPr>
          <w:rFonts w:hint="eastAsia"/>
        </w:rPr>
        <w:t>强化能源通道建设和储存设施建设中的环境保护。加强油气管道保护，加大隐患整治力度，提高管道安全运行水平，防止发生泄漏、爆炸、火灾等事故，避免天然气等危险化学品运输突发事故对环境造成不良影响。优化油气管网布局，推动油气资源清洁开发，促进废水循环利用。优化全市电网结构、探索多元能源利用等一系列政策措施，持续推动电力行业节能减排和清洁化生产利用。继续完善存储设施，严格按照安全、卫生防护距离布局选址，按照安全标准设计建造，做好消防、绿化、防渗、防溢、防泄、防尘集尘、截污治污等措施。</w:t>
      </w:r>
    </w:p>
    <w:p w14:paraId="6AD6AFD6">
      <w:pPr>
        <w:adjustRightInd/>
        <w:spacing w:line="240" w:lineRule="auto"/>
        <w:ind w:firstLine="632" w:firstLineChars="200"/>
        <w:textAlignment w:val="auto"/>
        <w:rPr>
          <w:rFonts w:hint="eastAsia"/>
        </w:rPr>
      </w:pPr>
      <w:r>
        <w:rPr>
          <w:rFonts w:hint="eastAsia"/>
        </w:rPr>
        <w:t>完善能源行业环境保护监管机制。严格遵守《中华人民共和国环境保护法》《中华人民共和国节约能源法》等法律法规，切实履行能源企业的节能环保责任和义务，严守生态红线。实行企业自主监管、政府部门监管和社会监督同步运行的多主体、常态化监督机制，引导企业制定环境风险应急预案及保障体系，主动接受各方监督。</w:t>
      </w:r>
    </w:p>
    <w:p w14:paraId="35422CE7">
      <w:pPr>
        <w:adjustRightInd/>
        <w:spacing w:line="240" w:lineRule="auto"/>
        <w:ind w:firstLine="632" w:firstLineChars="200"/>
        <w:textAlignment w:val="auto"/>
        <w:rPr>
          <w:rFonts w:hint="eastAsia" w:eastAsia="方正楷体_GBK"/>
        </w:rPr>
      </w:pPr>
      <w:r>
        <w:rPr>
          <w:rFonts w:hint="eastAsia" w:eastAsia="方正楷体_GBK"/>
        </w:rPr>
        <w:t>（三）规划实施的环境保护结论。</w:t>
      </w:r>
    </w:p>
    <w:p w14:paraId="5E165BA4">
      <w:pPr>
        <w:adjustRightInd/>
        <w:spacing w:line="240" w:lineRule="auto"/>
        <w:ind w:firstLine="632" w:firstLineChars="200"/>
        <w:textAlignment w:val="auto"/>
      </w:pPr>
      <w:r>
        <w:rPr>
          <w:rFonts w:hint="eastAsia"/>
        </w:rPr>
        <w:t>本规划符合国家产业政策、符合我市城市发展规划等相关规划要求、符合我市发展需要。规划实施后，天然气、新能源的使用将在一定程度上改变我市能源供应结构，从环境保护角度，本规划实施具备合理性和可行性。预期到2025年，全市能源行业发展对环境的影响将得到更好控制，能源行业节能减排目标可以实现。能源结构调整深入推进，能源生产更加清洁，资源利用更加高效，能源通道空间布局更加优化，环境质量进一步改善。</w:t>
      </w:r>
    </w:p>
    <w:sectPr>
      <w:footerReference r:id="rId5" w:type="default"/>
      <w:pgSz w:w="11906" w:h="16838"/>
      <w:pgMar w:top="2098" w:right="1531" w:bottom="1984" w:left="1531" w:header="851" w:footer="1417" w:gutter="0"/>
      <w:cols w:space="720" w:num="1"/>
      <w:titlePg/>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DD4251-A20F-442F-8E06-40B645875FF8}"/>
  </w:font>
  <w:font w:name="Arial">
    <w:panose1 w:val="020B0604020202020204"/>
    <w:charset w:val="01"/>
    <w:family w:val="swiss"/>
    <w:pitch w:val="default"/>
    <w:sig w:usb0="E0002EFF" w:usb1="C000785B" w:usb2="00000009" w:usb3="00000000" w:csb0="400001FF" w:csb1="FFFF0000"/>
    <w:embedRegular r:id="rId2" w:fontKey="{96C9B1FD-F0F1-43EF-AFF6-7E983062AB2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E631EFE-4B4D-4445-A1A8-0478EE562FBC}"/>
  </w:font>
  <w:font w:name="Symbol">
    <w:panose1 w:val="05050102010706020507"/>
    <w:charset w:val="02"/>
    <w:family w:val="roman"/>
    <w:pitch w:val="default"/>
    <w:sig w:usb0="00000000" w:usb1="00000000" w:usb2="00000000" w:usb3="00000000" w:csb0="80000000" w:csb1="00000000"/>
    <w:embedRegular r:id="rId4" w:fontKey="{E63B9E7B-6E5C-4D48-B6C9-9AB9EAB575DE}"/>
  </w:font>
  <w:font w:name="Calibri">
    <w:panose1 w:val="020F0502020204030204"/>
    <w:charset w:val="00"/>
    <w:family w:val="swiss"/>
    <w:pitch w:val="default"/>
    <w:sig w:usb0="E4002EFF" w:usb1="C000247B" w:usb2="00000009" w:usb3="00000000" w:csb0="200001FF" w:csb1="00000000"/>
    <w:embedRegular r:id="rId5" w:fontKey="{0FC297AC-33C3-4C94-93A1-0FE4243629F7}"/>
  </w:font>
  <w:font w:name="方正仿宋_GBK">
    <w:panose1 w:val="03000509000000000000"/>
    <w:charset w:val="86"/>
    <w:family w:val="script"/>
    <w:pitch w:val="default"/>
    <w:sig w:usb0="00000001" w:usb1="080E0000" w:usb2="00000000" w:usb3="00000000" w:csb0="00040000" w:csb1="00000000"/>
    <w:embedRegular r:id="rId6" w:fontKey="{6CD73198-3D1B-484D-AFC2-497A18AA888C}"/>
  </w:font>
  <w:font w:name="方正小标宋_GBK">
    <w:panose1 w:val="03000509000000000000"/>
    <w:charset w:val="86"/>
    <w:family w:val="script"/>
    <w:pitch w:val="default"/>
    <w:sig w:usb0="00000001" w:usb1="080E0000" w:usb2="00000000" w:usb3="00000000" w:csb0="00040000" w:csb1="00000000"/>
    <w:embedRegular r:id="rId7" w:fontKey="{7968F1B3-D08D-4B0D-9036-390815406FA7}"/>
  </w:font>
  <w:font w:name="方正黑体_GBK">
    <w:panose1 w:val="03000509000000000000"/>
    <w:charset w:val="86"/>
    <w:family w:val="script"/>
    <w:pitch w:val="default"/>
    <w:sig w:usb0="00000001" w:usb1="080E0000" w:usb2="00000000" w:usb3="00000000" w:csb0="00040000" w:csb1="00000000"/>
    <w:embedRegular r:id="rId8" w:fontKey="{286110E0-1C55-478D-AF3C-2F98B405F11A}"/>
  </w:font>
  <w:font w:name="方正楷体_GBK">
    <w:panose1 w:val="03000509000000000000"/>
    <w:charset w:val="86"/>
    <w:family w:val="script"/>
    <w:pitch w:val="default"/>
    <w:sig w:usb0="00000001" w:usb1="080E0000" w:usb2="00000000" w:usb3="00000000" w:csb0="00040000" w:csb1="00000000"/>
    <w:embedRegular r:id="rId9" w:fontKey="{0008998C-72BC-463C-8A50-BED568ECC8F8}"/>
  </w:font>
  <w:font w:name="方正书宋_GBK">
    <w:altName w:val="微软雅黑"/>
    <w:panose1 w:val="02000000000000000000"/>
    <w:charset w:val="86"/>
    <w:family w:val="script"/>
    <w:pitch w:val="default"/>
    <w:sig w:usb0="00000000" w:usb1="00000000" w:usb2="00000000" w:usb3="00000000" w:csb0="00040000" w:csb1="00000000"/>
    <w:embedRegular r:id="rId10" w:fontKey="{071B8C27-9B65-4121-9DA6-738214EC30F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0980">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E8960B">
                          <w:pPr>
                            <w:pStyle w:val="4"/>
                            <w:rPr>
                              <w:rFonts w:hint="eastAsia" w:ascii="方正仿宋_GBK" w:hAnsi="方正仿宋_GBK" w:cs="方正仿宋_GBK"/>
                              <w:sz w:val="28"/>
                              <w:szCs w:val="28"/>
                            </w:rPr>
                          </w:pPr>
                          <w:r>
                            <w:rPr>
                              <w:rFonts w:hint="eastAsia" w:ascii="方正仿宋_GBK" w:hAnsi="方正仿宋_GBK" w:cs="方正仿宋_GBK"/>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ascii="方正仿宋_GBK" w:hAnsi="方正仿宋_GBK" w:cs="方正仿宋_GBK"/>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14:paraId="22E8960B">
                    <w:pPr>
                      <w:pStyle w:val="4"/>
                      <w:rPr>
                        <w:rFonts w:hint="eastAsia" w:ascii="方正仿宋_GBK" w:hAnsi="方正仿宋_GBK" w:cs="方正仿宋_GBK"/>
                        <w:sz w:val="28"/>
                        <w:szCs w:val="28"/>
                      </w:rPr>
                    </w:pPr>
                    <w:r>
                      <w:rPr>
                        <w:rFonts w:hint="eastAsia" w:ascii="方正仿宋_GBK" w:hAnsi="方正仿宋_GBK" w:cs="方正仿宋_GBK"/>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ascii="方正仿宋_GBK" w:hAnsi="方正仿宋_GBK" w:cs="方正仿宋_GBK"/>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58"/>
  <w:drawingGridVerticalSpacing w:val="579"/>
  <w:displayHorizontalDrawingGridEvery w:val="0"/>
  <w:displayVerticalDrawingGridEvery w:val="1"/>
  <w:characterSpacingControl w:val="compressPunctuation"/>
  <w:noLineBreaksAfter w:lang="zh-CN" w:val="([{·‘“〈《「『【〔〖（．［｛￡￥"/>
  <w:noLineBreaksBefore w:lang="zh-CN" w:val="!),.:;?]}¨·ˇˉ―‖’”…∶、。〃々〉》」』】〕〗！＂＇），．：；？］｀｜｝～￠"/>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5MjAzMGUwMWU2MzNmYTc3ODU4ZDZlYTNiMzZiY2MifQ=="/>
  </w:docVars>
  <w:rsids>
    <w:rsidRoot w:val="000C5E6E"/>
    <w:rsid w:val="000A01FB"/>
    <w:rsid w:val="000B24F9"/>
    <w:rsid w:val="000B4A22"/>
    <w:rsid w:val="000C0BF7"/>
    <w:rsid w:val="000C2FB2"/>
    <w:rsid w:val="000C5E6E"/>
    <w:rsid w:val="000C6B28"/>
    <w:rsid w:val="000F25BF"/>
    <w:rsid w:val="001005AC"/>
    <w:rsid w:val="001024AA"/>
    <w:rsid w:val="001056AD"/>
    <w:rsid w:val="00182501"/>
    <w:rsid w:val="00185691"/>
    <w:rsid w:val="001B58F6"/>
    <w:rsid w:val="001D3042"/>
    <w:rsid w:val="001E64D7"/>
    <w:rsid w:val="001F7BBB"/>
    <w:rsid w:val="002466FA"/>
    <w:rsid w:val="00250A8A"/>
    <w:rsid w:val="0026530B"/>
    <w:rsid w:val="00296D93"/>
    <w:rsid w:val="002B04C6"/>
    <w:rsid w:val="00301B6D"/>
    <w:rsid w:val="00392240"/>
    <w:rsid w:val="00396CAE"/>
    <w:rsid w:val="003B3891"/>
    <w:rsid w:val="003D5F25"/>
    <w:rsid w:val="003E4FE8"/>
    <w:rsid w:val="003E5084"/>
    <w:rsid w:val="003F450B"/>
    <w:rsid w:val="00413264"/>
    <w:rsid w:val="00432433"/>
    <w:rsid w:val="00434D79"/>
    <w:rsid w:val="00474C3A"/>
    <w:rsid w:val="00496D2E"/>
    <w:rsid w:val="00497F00"/>
    <w:rsid w:val="004A2FB3"/>
    <w:rsid w:val="004E0474"/>
    <w:rsid w:val="0050535E"/>
    <w:rsid w:val="0057013C"/>
    <w:rsid w:val="005777F4"/>
    <w:rsid w:val="005C7EAE"/>
    <w:rsid w:val="005F3C4D"/>
    <w:rsid w:val="006042BD"/>
    <w:rsid w:val="006068C6"/>
    <w:rsid w:val="006A30D0"/>
    <w:rsid w:val="006C0DE2"/>
    <w:rsid w:val="0072131F"/>
    <w:rsid w:val="00731C1B"/>
    <w:rsid w:val="00737083"/>
    <w:rsid w:val="00765BC9"/>
    <w:rsid w:val="007770A5"/>
    <w:rsid w:val="00794916"/>
    <w:rsid w:val="007F46CB"/>
    <w:rsid w:val="00815223"/>
    <w:rsid w:val="00831787"/>
    <w:rsid w:val="00850D3F"/>
    <w:rsid w:val="00860A47"/>
    <w:rsid w:val="00891C35"/>
    <w:rsid w:val="008935D1"/>
    <w:rsid w:val="008B74C0"/>
    <w:rsid w:val="009048D5"/>
    <w:rsid w:val="00904AFE"/>
    <w:rsid w:val="0092122C"/>
    <w:rsid w:val="009220DF"/>
    <w:rsid w:val="00965CCB"/>
    <w:rsid w:val="00972E17"/>
    <w:rsid w:val="00974193"/>
    <w:rsid w:val="009A5EB0"/>
    <w:rsid w:val="00A40C10"/>
    <w:rsid w:val="00A443C1"/>
    <w:rsid w:val="00A955CD"/>
    <w:rsid w:val="00B1777D"/>
    <w:rsid w:val="00B51CD6"/>
    <w:rsid w:val="00B73014"/>
    <w:rsid w:val="00B833D8"/>
    <w:rsid w:val="00BF0A53"/>
    <w:rsid w:val="00C464A8"/>
    <w:rsid w:val="00C6762A"/>
    <w:rsid w:val="00D01740"/>
    <w:rsid w:val="00D7295A"/>
    <w:rsid w:val="00D878F1"/>
    <w:rsid w:val="00D97CFB"/>
    <w:rsid w:val="00DB38C2"/>
    <w:rsid w:val="00DD2B37"/>
    <w:rsid w:val="00DD4877"/>
    <w:rsid w:val="00E03841"/>
    <w:rsid w:val="00E7080E"/>
    <w:rsid w:val="00E73AC1"/>
    <w:rsid w:val="00E770E1"/>
    <w:rsid w:val="00E93235"/>
    <w:rsid w:val="00ED5B9D"/>
    <w:rsid w:val="00F14A44"/>
    <w:rsid w:val="00F63B69"/>
    <w:rsid w:val="00FA4D84"/>
    <w:rsid w:val="00FA4DBD"/>
    <w:rsid w:val="02FA9B84"/>
    <w:rsid w:val="0CDD5CC5"/>
    <w:rsid w:val="0CF02DEE"/>
    <w:rsid w:val="107E7BE4"/>
    <w:rsid w:val="11A04AE4"/>
    <w:rsid w:val="12080E07"/>
    <w:rsid w:val="127C7887"/>
    <w:rsid w:val="12C81AA5"/>
    <w:rsid w:val="15F712F7"/>
    <w:rsid w:val="1D2027D0"/>
    <w:rsid w:val="1F4C00ED"/>
    <w:rsid w:val="1FFA1174"/>
    <w:rsid w:val="2248168A"/>
    <w:rsid w:val="23570372"/>
    <w:rsid w:val="26D83835"/>
    <w:rsid w:val="2B6F62D5"/>
    <w:rsid w:val="2BEF6201"/>
    <w:rsid w:val="2D57E7EC"/>
    <w:rsid w:val="2F72A683"/>
    <w:rsid w:val="35EF5E14"/>
    <w:rsid w:val="37EE6F61"/>
    <w:rsid w:val="38146403"/>
    <w:rsid w:val="38B97D28"/>
    <w:rsid w:val="3C940471"/>
    <w:rsid w:val="3EAB0813"/>
    <w:rsid w:val="3EBF1C46"/>
    <w:rsid w:val="3EE6F376"/>
    <w:rsid w:val="3EF73A63"/>
    <w:rsid w:val="3F5E7B73"/>
    <w:rsid w:val="3F76408E"/>
    <w:rsid w:val="3FFB8D37"/>
    <w:rsid w:val="40236899"/>
    <w:rsid w:val="45E47B16"/>
    <w:rsid w:val="47651902"/>
    <w:rsid w:val="477B47A9"/>
    <w:rsid w:val="49BBA359"/>
    <w:rsid w:val="49DF0443"/>
    <w:rsid w:val="4A30398A"/>
    <w:rsid w:val="4CE7092E"/>
    <w:rsid w:val="4DF5B938"/>
    <w:rsid w:val="4E252DB9"/>
    <w:rsid w:val="4FFEE5F5"/>
    <w:rsid w:val="54E47F11"/>
    <w:rsid w:val="57AB954E"/>
    <w:rsid w:val="57F334F7"/>
    <w:rsid w:val="57FF508A"/>
    <w:rsid w:val="5AB7B120"/>
    <w:rsid w:val="5B7F2C84"/>
    <w:rsid w:val="5BC50A62"/>
    <w:rsid w:val="5FBC0662"/>
    <w:rsid w:val="5FDFF98F"/>
    <w:rsid w:val="5FF1167B"/>
    <w:rsid w:val="5FFBD815"/>
    <w:rsid w:val="61561366"/>
    <w:rsid w:val="625C3242"/>
    <w:rsid w:val="62F74EE0"/>
    <w:rsid w:val="63BFD95A"/>
    <w:rsid w:val="66BF7F0A"/>
    <w:rsid w:val="673C55E1"/>
    <w:rsid w:val="696E3491"/>
    <w:rsid w:val="69FE41C7"/>
    <w:rsid w:val="6AFF5937"/>
    <w:rsid w:val="6B57BFED"/>
    <w:rsid w:val="6B7D78EA"/>
    <w:rsid w:val="6B7F5DAB"/>
    <w:rsid w:val="6BDD591A"/>
    <w:rsid w:val="6BED4B47"/>
    <w:rsid w:val="6BEDF9B1"/>
    <w:rsid w:val="6CFF4EC1"/>
    <w:rsid w:val="6EFDAAE4"/>
    <w:rsid w:val="6FF7CF8E"/>
    <w:rsid w:val="6FFF34D5"/>
    <w:rsid w:val="726B7973"/>
    <w:rsid w:val="72B7ADCD"/>
    <w:rsid w:val="73D7B105"/>
    <w:rsid w:val="757974E0"/>
    <w:rsid w:val="75ED0DB5"/>
    <w:rsid w:val="75F71329"/>
    <w:rsid w:val="775FA5F5"/>
    <w:rsid w:val="77BC1AC6"/>
    <w:rsid w:val="77E74707"/>
    <w:rsid w:val="77F4EDA3"/>
    <w:rsid w:val="77FD0D42"/>
    <w:rsid w:val="79D6A138"/>
    <w:rsid w:val="79EFAAF0"/>
    <w:rsid w:val="7AB3931F"/>
    <w:rsid w:val="7AFC76E8"/>
    <w:rsid w:val="7B5F6FE8"/>
    <w:rsid w:val="7B71496F"/>
    <w:rsid w:val="7CC6F03E"/>
    <w:rsid w:val="7CFFA63C"/>
    <w:rsid w:val="7DE67EA6"/>
    <w:rsid w:val="7E33B96F"/>
    <w:rsid w:val="7E5FECA7"/>
    <w:rsid w:val="7EDF8FA9"/>
    <w:rsid w:val="7EEFEBCA"/>
    <w:rsid w:val="7EFE1DAF"/>
    <w:rsid w:val="7F76EC7E"/>
    <w:rsid w:val="7F7D1E63"/>
    <w:rsid w:val="7F9E7181"/>
    <w:rsid w:val="7FAF35C1"/>
    <w:rsid w:val="7FB5D529"/>
    <w:rsid w:val="7FB7E628"/>
    <w:rsid w:val="7FBF281F"/>
    <w:rsid w:val="7FC5E823"/>
    <w:rsid w:val="7FCDF39D"/>
    <w:rsid w:val="7FDFA1B9"/>
    <w:rsid w:val="7FEC39E3"/>
    <w:rsid w:val="7FEFB65C"/>
    <w:rsid w:val="7FF7B11C"/>
    <w:rsid w:val="8AFBF7C0"/>
    <w:rsid w:val="917DAA62"/>
    <w:rsid w:val="977F1A0A"/>
    <w:rsid w:val="98FF1734"/>
    <w:rsid w:val="9CFF0EAC"/>
    <w:rsid w:val="9F7F2424"/>
    <w:rsid w:val="A6F13DF3"/>
    <w:rsid w:val="A9915DA3"/>
    <w:rsid w:val="AFBCEB22"/>
    <w:rsid w:val="AFDBA861"/>
    <w:rsid w:val="AFFAAD34"/>
    <w:rsid w:val="AFFD8350"/>
    <w:rsid w:val="B57FC4C2"/>
    <w:rsid w:val="B64F0746"/>
    <w:rsid w:val="B6A9D6EC"/>
    <w:rsid w:val="B6F75BCE"/>
    <w:rsid w:val="BA7B23C6"/>
    <w:rsid w:val="BC7B7443"/>
    <w:rsid w:val="BD75F31D"/>
    <w:rsid w:val="BDD39718"/>
    <w:rsid w:val="BDFBC2AD"/>
    <w:rsid w:val="BDFD46BC"/>
    <w:rsid w:val="BE5FAC21"/>
    <w:rsid w:val="BF973199"/>
    <w:rsid w:val="BF9FF0F2"/>
    <w:rsid w:val="CDFFEB7B"/>
    <w:rsid w:val="D8D5ECBD"/>
    <w:rsid w:val="DBF7FB4C"/>
    <w:rsid w:val="DCAE126F"/>
    <w:rsid w:val="DE66DF84"/>
    <w:rsid w:val="DEBF63BF"/>
    <w:rsid w:val="DFEB4ADC"/>
    <w:rsid w:val="DFFE1DA5"/>
    <w:rsid w:val="E37FCBD5"/>
    <w:rsid w:val="E52EB73A"/>
    <w:rsid w:val="E67E13A4"/>
    <w:rsid w:val="E7B282D1"/>
    <w:rsid w:val="E7BA4388"/>
    <w:rsid w:val="E9F7EB0B"/>
    <w:rsid w:val="EA7D4E9B"/>
    <w:rsid w:val="EBED45F8"/>
    <w:rsid w:val="EBF7038A"/>
    <w:rsid w:val="EDDF04AA"/>
    <w:rsid w:val="EDFD6C89"/>
    <w:rsid w:val="EDFDB4E3"/>
    <w:rsid w:val="EE9FFFD2"/>
    <w:rsid w:val="EEBFAFDF"/>
    <w:rsid w:val="EEFBE737"/>
    <w:rsid w:val="EFEFD646"/>
    <w:rsid w:val="EFF3871F"/>
    <w:rsid w:val="EFF6AFCC"/>
    <w:rsid w:val="F14E1DD5"/>
    <w:rsid w:val="F2FF0602"/>
    <w:rsid w:val="F76E4BE6"/>
    <w:rsid w:val="F77CD2DE"/>
    <w:rsid w:val="F77F6FEF"/>
    <w:rsid w:val="FAEF9DC6"/>
    <w:rsid w:val="FBFBF0CA"/>
    <w:rsid w:val="FBFFA80E"/>
    <w:rsid w:val="FDA07C0B"/>
    <w:rsid w:val="FDEDDC09"/>
    <w:rsid w:val="FE7E3E33"/>
    <w:rsid w:val="FF3FF167"/>
    <w:rsid w:val="FF5F80F8"/>
    <w:rsid w:val="FF77D8EE"/>
    <w:rsid w:val="FFBF289C"/>
    <w:rsid w:val="FFD4D6BC"/>
    <w:rsid w:val="FFEF7671"/>
    <w:rsid w:val="FFFF1A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color w:val="000000"/>
    </w:rPr>
  </w:style>
  <w:style w:type="paragraph" w:styleId="3">
    <w:name w:val="Balloon Text"/>
    <w:basedOn w:val="1"/>
    <w:qFormat/>
    <w:uiPriority w:val="0"/>
    <w:rPr>
      <w:sz w:val="18"/>
      <w:szCs w:val="18"/>
    </w:rPr>
  </w:style>
  <w:style w:type="paragraph" w:styleId="4">
    <w:name w:val="footer"/>
    <w:basedOn w:val="1"/>
    <w:link w:val="10"/>
    <w:qFormat/>
    <w:uiPriority w:val="0"/>
    <w:pPr>
      <w:tabs>
        <w:tab w:val="center" w:pos="4153"/>
        <w:tab w:val="right" w:pos="8306"/>
      </w:tabs>
      <w:snapToGrid w:val="0"/>
      <w:spacing w:line="240" w:lineRule="atLeast"/>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character" w:customStyle="1" w:styleId="10">
    <w:name w:val="页脚 字符"/>
    <w:link w:val="4"/>
    <w:qFormat/>
    <w:uiPriority w:val="99"/>
    <w:rPr>
      <w:rFonts w:eastAsia="方正仿宋_GBK"/>
      <w:sz w:val="18"/>
      <w:szCs w:val="18"/>
    </w:rPr>
  </w:style>
  <w:style w:type="character" w:customStyle="1" w:styleId="11">
    <w:name w:val="页眉 字符"/>
    <w:link w:val="5"/>
    <w:qFormat/>
    <w:uiPriority w:val="0"/>
    <w:rPr>
      <w:rFonts w:eastAsia="方正仿宋_GBK"/>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jw</Company>
  <Pages>35</Pages>
  <Words>1711</Words>
  <Characters>1996</Characters>
  <Lines>131</Lines>
  <Paragraphs>37</Paragraphs>
  <TotalTime>0</TotalTime>
  <ScaleCrop>false</ScaleCrop>
  <LinksUpToDate>false</LinksUpToDate>
  <CharactersWithSpaces>2006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2009-06-24T10:03:00Z</dcterms:created>
  <dc:creator>jw</dc:creator>
  <cp:lastModifiedBy>阿阿阿钰啊</cp:lastModifiedBy>
  <cp:lastPrinted>2022-06-07T06:22:00Z</cp:lastPrinted>
  <dcterms:modified xsi:type="dcterms:W3CDTF">2025-03-31T03:01:25Z</dcterms:modified>
  <dc:title>重庆市计委关于巫山县小小三峡手扒岩至平河</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标题">
    <vt:lpwstr>关于呈请审定公开版《重庆市能源发展“十四五”规划（2021-2025年）》（送审稿）的请示</vt:lpwstr>
  </property>
  <property fmtid="{D5CDD505-2E9C-101B-9397-08002B2CF9AE}" pid="4" name="ICV">
    <vt:lpwstr>62BF37AA6C334641AE411BC0B0D2C983</vt:lpwstr>
  </property>
  <property fmtid="{D5CDD505-2E9C-101B-9397-08002B2CF9AE}" pid="5" name="KSOSaveFontToCloudKey">
    <vt:lpwstr>380550067_embed</vt:lpwstr>
  </property>
  <property fmtid="{D5CDD505-2E9C-101B-9397-08002B2CF9AE}" pid="6" name="KSOTemplateDocerSaveRecord">
    <vt:lpwstr>eyJoZGlkIjoiNDJiZjE2YjY3NzZhM2JhZmViODExNzgzOWZiZDE4MWQiLCJ1c2VySWQiOiI0OTM1MjMwMjgifQ==</vt:lpwstr>
  </property>
</Properties>
</file>