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D0" w:rsidRDefault="003F71D0" w:rsidP="00015345">
      <w:pPr>
        <w:widowControl/>
        <w:spacing w:line="580" w:lineRule="exact"/>
        <w:jc w:val="center"/>
        <w:rPr>
          <w:rFonts w:ascii="方正小标宋_GBK" w:eastAsia="方正小标宋_GBK" w:hAnsi="黑体" w:cs="宋体"/>
          <w:kern w:val="0"/>
          <w:sz w:val="44"/>
          <w:szCs w:val="44"/>
        </w:rPr>
      </w:pPr>
    </w:p>
    <w:p w:rsidR="003F71D0" w:rsidRDefault="003F71D0" w:rsidP="00015345">
      <w:pPr>
        <w:widowControl/>
        <w:spacing w:line="580" w:lineRule="exact"/>
        <w:jc w:val="center"/>
        <w:rPr>
          <w:rFonts w:ascii="方正小标宋_GBK" w:eastAsia="方正小标宋_GBK" w:hAnsi="黑体" w:cs="宋体"/>
          <w:kern w:val="0"/>
          <w:sz w:val="44"/>
          <w:szCs w:val="44"/>
        </w:rPr>
      </w:pPr>
    </w:p>
    <w:p w:rsidR="00015345" w:rsidRPr="00015345" w:rsidRDefault="00015345" w:rsidP="00015345">
      <w:pPr>
        <w:widowControl/>
        <w:spacing w:line="580" w:lineRule="exact"/>
        <w:jc w:val="center"/>
        <w:rPr>
          <w:rFonts w:ascii="方正小标宋_GBK" w:eastAsia="方正小标宋_GBK" w:hAnsi="宋体" w:cs="宋体"/>
          <w:kern w:val="0"/>
          <w:sz w:val="44"/>
          <w:szCs w:val="44"/>
        </w:rPr>
      </w:pPr>
      <w:r w:rsidRPr="00015345">
        <w:rPr>
          <w:rFonts w:ascii="方正小标宋_GBK" w:eastAsia="方正小标宋_GBK" w:hAnsi="黑体" w:cs="宋体" w:hint="eastAsia"/>
          <w:kern w:val="0"/>
          <w:sz w:val="44"/>
          <w:szCs w:val="44"/>
        </w:rPr>
        <w:t>重庆市人民政府办公厅关于</w:t>
      </w:r>
    </w:p>
    <w:p w:rsidR="00015345" w:rsidRPr="00015345" w:rsidRDefault="00015345" w:rsidP="00015345">
      <w:pPr>
        <w:widowControl/>
        <w:spacing w:line="580" w:lineRule="exact"/>
        <w:jc w:val="center"/>
        <w:rPr>
          <w:rFonts w:ascii="方正小标宋_GBK" w:eastAsia="方正小标宋_GBK" w:hAnsi="宋体" w:cs="宋体"/>
          <w:kern w:val="0"/>
          <w:sz w:val="44"/>
          <w:szCs w:val="44"/>
        </w:rPr>
      </w:pPr>
      <w:r w:rsidRPr="00015345">
        <w:rPr>
          <w:rFonts w:ascii="方正小标宋_GBK" w:eastAsia="方正小标宋_GBK" w:hAnsi="黑体" w:cs="宋体" w:hint="eastAsia"/>
          <w:kern w:val="0"/>
          <w:sz w:val="44"/>
          <w:szCs w:val="44"/>
        </w:rPr>
        <w:t>印发重庆市农业保险保障倍增计划</w:t>
      </w:r>
    </w:p>
    <w:p w:rsidR="00015345" w:rsidRPr="00015345" w:rsidRDefault="00015345" w:rsidP="00015345">
      <w:pPr>
        <w:widowControl/>
        <w:spacing w:line="580" w:lineRule="exact"/>
        <w:jc w:val="center"/>
        <w:rPr>
          <w:rFonts w:ascii="方正仿宋_GBK" w:eastAsia="方正仿宋_GBK" w:hAnsi="宋体" w:cs="宋体"/>
          <w:kern w:val="0"/>
          <w:sz w:val="32"/>
          <w:szCs w:val="32"/>
          <w:u w:val="single"/>
        </w:rPr>
      </w:pPr>
      <w:r w:rsidRPr="00015345">
        <w:rPr>
          <w:rFonts w:ascii="方正小标宋_GBK" w:eastAsia="方正小标宋_GBK" w:hAnsi="黑体" w:cs="宋体" w:hint="eastAsia"/>
          <w:kern w:val="0"/>
          <w:sz w:val="44"/>
          <w:szCs w:val="44"/>
        </w:rPr>
        <w:t>实施方案的通知</w:t>
      </w:r>
    </w:p>
    <w:p w:rsidR="00015345" w:rsidRPr="00015345" w:rsidRDefault="00015345" w:rsidP="00015345">
      <w:pPr>
        <w:widowControl/>
        <w:spacing w:line="580" w:lineRule="exact"/>
        <w:jc w:val="center"/>
        <w:rPr>
          <w:rFonts w:ascii="方正楷体_GBK" w:eastAsia="方正楷体_GBK" w:hAnsi="宋体" w:cs="宋体"/>
          <w:kern w:val="0"/>
          <w:sz w:val="32"/>
          <w:szCs w:val="32"/>
        </w:rPr>
      </w:pPr>
      <w:r w:rsidRPr="00015345">
        <w:rPr>
          <w:rFonts w:ascii="方正楷体_GBK" w:eastAsia="方正楷体_GBK" w:hAnsi="宋体" w:cs="宋体" w:hint="eastAsia"/>
          <w:kern w:val="0"/>
          <w:sz w:val="32"/>
          <w:szCs w:val="32"/>
        </w:rPr>
        <w:t>渝府办发〔2018〕93</w:t>
      </w:r>
      <w:bookmarkStart w:id="0" w:name="_GoBack"/>
      <w:bookmarkEnd w:id="0"/>
      <w:r w:rsidRPr="00015345">
        <w:rPr>
          <w:rFonts w:ascii="方正楷体_GBK" w:eastAsia="方正楷体_GBK" w:hAnsi="宋体" w:cs="宋体" w:hint="eastAsia"/>
          <w:kern w:val="0"/>
          <w:sz w:val="32"/>
          <w:szCs w:val="32"/>
        </w:rPr>
        <w:t>号</w:t>
      </w:r>
    </w:p>
    <w:p w:rsidR="00015345" w:rsidRPr="00015345" w:rsidRDefault="00015345" w:rsidP="00015345">
      <w:pPr>
        <w:widowControl/>
        <w:spacing w:line="580" w:lineRule="exact"/>
        <w:jc w:val="center"/>
        <w:rPr>
          <w:rFonts w:ascii="方正仿宋_GBK" w:eastAsia="方正仿宋_GBK" w:hAnsi="宋体" w:cs="宋体"/>
          <w:kern w:val="0"/>
          <w:sz w:val="32"/>
          <w:szCs w:val="32"/>
        </w:rPr>
      </w:pPr>
    </w:p>
    <w:p w:rsidR="00015345" w:rsidRPr="00015345" w:rsidRDefault="00015345" w:rsidP="00015345">
      <w:pPr>
        <w:widowControl/>
        <w:spacing w:line="580" w:lineRule="exact"/>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各区县（自治县）人民政府，市政府有关部门，有关单位：</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《重庆市农业保险保障倍增计划实施方案》已经市政府同意，现印发给你们，请认真贯彻执行。</w:t>
      </w:r>
    </w:p>
    <w:p w:rsidR="00015345" w:rsidRPr="00015345" w:rsidRDefault="00015345" w:rsidP="00015345">
      <w:pPr>
        <w:widowControl/>
        <w:spacing w:line="580" w:lineRule="exact"/>
        <w:ind w:firstLine="632"/>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 </w:t>
      </w:r>
    </w:p>
    <w:p w:rsidR="00015345" w:rsidRPr="00015345" w:rsidRDefault="00015345" w:rsidP="00015345">
      <w:pPr>
        <w:widowControl/>
        <w:wordWrap w:val="0"/>
        <w:spacing w:line="580" w:lineRule="exact"/>
        <w:ind w:firstLine="632"/>
        <w:jc w:val="righ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重庆市人民政府办公厅</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015345" w:rsidRDefault="00015345" w:rsidP="00015345">
      <w:pPr>
        <w:widowControl/>
        <w:wordWrap w:val="0"/>
        <w:spacing w:line="580" w:lineRule="exact"/>
        <w:ind w:firstLine="632"/>
        <w:jc w:val="righ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2018年6月29日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015345" w:rsidRPr="00015345" w:rsidRDefault="00015345" w:rsidP="00015345">
      <w:pPr>
        <w:widowControl/>
        <w:spacing w:line="580" w:lineRule="exact"/>
        <w:ind w:firstLine="632"/>
        <w:jc w:val="right"/>
        <w:rPr>
          <w:rFonts w:ascii="方正仿宋_GBK" w:eastAsia="方正仿宋_GBK" w:hAnsi="宋体" w:cs="宋体"/>
          <w:kern w:val="0"/>
          <w:sz w:val="32"/>
          <w:szCs w:val="32"/>
        </w:rPr>
      </w:pP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（此件公开发布）</w:t>
      </w:r>
    </w:p>
    <w:p w:rsidR="00015345" w:rsidRDefault="00015345" w:rsidP="00015345">
      <w:pPr>
        <w:widowControl/>
        <w:spacing w:line="580" w:lineRule="exact"/>
        <w:ind w:firstLine="632"/>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 </w:t>
      </w:r>
    </w:p>
    <w:p w:rsidR="003F71D0" w:rsidRDefault="003F71D0" w:rsidP="00015345">
      <w:pPr>
        <w:widowControl/>
        <w:spacing w:line="580" w:lineRule="exact"/>
        <w:ind w:firstLine="632"/>
        <w:jc w:val="left"/>
        <w:rPr>
          <w:rFonts w:ascii="方正仿宋_GBK" w:eastAsia="方正仿宋_GBK" w:hAnsi="宋体" w:cs="宋体"/>
          <w:kern w:val="0"/>
          <w:sz w:val="32"/>
          <w:szCs w:val="32"/>
        </w:rPr>
      </w:pPr>
    </w:p>
    <w:p w:rsidR="003F71D0" w:rsidRDefault="003F71D0" w:rsidP="00015345">
      <w:pPr>
        <w:widowControl/>
        <w:spacing w:line="580" w:lineRule="exact"/>
        <w:ind w:firstLine="632"/>
        <w:jc w:val="left"/>
        <w:rPr>
          <w:rFonts w:ascii="方正仿宋_GBK" w:eastAsia="方正仿宋_GBK" w:hAnsi="宋体" w:cs="宋体"/>
          <w:kern w:val="0"/>
          <w:sz w:val="32"/>
          <w:szCs w:val="32"/>
        </w:rPr>
      </w:pPr>
    </w:p>
    <w:p w:rsidR="003F71D0" w:rsidRDefault="003F71D0" w:rsidP="00015345">
      <w:pPr>
        <w:widowControl/>
        <w:spacing w:line="580" w:lineRule="exact"/>
        <w:ind w:firstLine="632"/>
        <w:jc w:val="left"/>
        <w:rPr>
          <w:rFonts w:ascii="方正仿宋_GBK" w:eastAsia="方正仿宋_GBK" w:hAnsi="宋体" w:cs="宋体"/>
          <w:kern w:val="0"/>
          <w:sz w:val="32"/>
          <w:szCs w:val="32"/>
        </w:rPr>
      </w:pPr>
    </w:p>
    <w:p w:rsidR="003F71D0" w:rsidRDefault="003F71D0" w:rsidP="00015345">
      <w:pPr>
        <w:widowControl/>
        <w:spacing w:line="580" w:lineRule="exact"/>
        <w:ind w:firstLine="632"/>
        <w:jc w:val="left"/>
        <w:rPr>
          <w:rFonts w:ascii="方正仿宋_GBK" w:eastAsia="方正仿宋_GBK" w:hAnsi="宋体" w:cs="宋体"/>
          <w:kern w:val="0"/>
          <w:sz w:val="32"/>
          <w:szCs w:val="32"/>
        </w:rPr>
      </w:pPr>
    </w:p>
    <w:p w:rsidR="003F71D0" w:rsidRPr="00015345" w:rsidRDefault="003F71D0" w:rsidP="00015345">
      <w:pPr>
        <w:widowControl/>
        <w:spacing w:line="580" w:lineRule="exact"/>
        <w:ind w:firstLine="632"/>
        <w:jc w:val="left"/>
        <w:rPr>
          <w:rFonts w:ascii="方正仿宋_GBK" w:eastAsia="方正仿宋_GBK" w:hAnsi="宋体" w:cs="宋体" w:hint="eastAsia"/>
          <w:kern w:val="0"/>
          <w:sz w:val="32"/>
          <w:szCs w:val="32"/>
        </w:rPr>
      </w:pPr>
    </w:p>
    <w:p w:rsidR="003F71D0" w:rsidRDefault="003F71D0" w:rsidP="00015345">
      <w:pPr>
        <w:widowControl/>
        <w:spacing w:line="580" w:lineRule="exact"/>
        <w:jc w:val="center"/>
        <w:rPr>
          <w:rFonts w:ascii="方正小标宋_GBK" w:eastAsia="方正小标宋_GBK" w:hAnsi="黑体" w:cs="宋体"/>
          <w:kern w:val="0"/>
          <w:sz w:val="44"/>
          <w:szCs w:val="44"/>
        </w:rPr>
      </w:pPr>
    </w:p>
    <w:p w:rsidR="00015345" w:rsidRPr="00015345" w:rsidRDefault="00015345" w:rsidP="00015345">
      <w:pPr>
        <w:widowControl/>
        <w:spacing w:line="580" w:lineRule="exact"/>
        <w:jc w:val="center"/>
        <w:rPr>
          <w:rFonts w:ascii="方正小标宋_GBK" w:eastAsia="方正小标宋_GBK" w:hAnsi="宋体" w:cs="宋体"/>
          <w:kern w:val="0"/>
          <w:sz w:val="44"/>
          <w:szCs w:val="44"/>
        </w:rPr>
      </w:pPr>
      <w:r w:rsidRPr="00015345">
        <w:rPr>
          <w:rFonts w:ascii="方正小标宋_GBK" w:eastAsia="方正小标宋_GBK" w:hAnsi="黑体" w:cs="宋体" w:hint="eastAsia"/>
          <w:kern w:val="0"/>
          <w:sz w:val="44"/>
          <w:szCs w:val="44"/>
        </w:rPr>
        <w:t>重庆市农业保险保障倍增计划实施方案</w:t>
      </w:r>
    </w:p>
    <w:p w:rsidR="00015345" w:rsidRPr="00015345" w:rsidRDefault="00015345" w:rsidP="00015345">
      <w:pPr>
        <w:widowControl/>
        <w:spacing w:line="580" w:lineRule="exact"/>
        <w:ind w:firstLine="632"/>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 </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为深入贯彻党的十九大精神和《中共中央国务院关于实施乡村振兴战略的意见》要求，推动实施乡村振兴战略行动计划，提升金融服务实体经济能力，加快提高我市农业保险保障水平，制定本实施方案。</w:t>
      </w:r>
    </w:p>
    <w:p w:rsidR="00015345" w:rsidRPr="00015345" w:rsidRDefault="00015345" w:rsidP="007559BC">
      <w:pPr>
        <w:widowControl/>
        <w:spacing w:line="580" w:lineRule="exact"/>
        <w:ind w:firstLineChars="200" w:firstLine="640"/>
        <w:jc w:val="left"/>
        <w:rPr>
          <w:rFonts w:ascii="方正黑体_GBK" w:eastAsia="方正黑体_GBK" w:hAnsi="宋体" w:cs="宋体"/>
          <w:kern w:val="0"/>
          <w:sz w:val="32"/>
          <w:szCs w:val="32"/>
        </w:rPr>
      </w:pPr>
      <w:r w:rsidRPr="00015345">
        <w:rPr>
          <w:rFonts w:ascii="方正黑体_GBK" w:eastAsia="方正黑体_GBK" w:hAnsi="宋体" w:cs="宋体" w:hint="eastAsia"/>
          <w:kern w:val="0"/>
          <w:sz w:val="32"/>
          <w:szCs w:val="32"/>
        </w:rPr>
        <w:t>一、总体目标</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到2019年，我市农业保险总保障金额在2017年基础上翻一番，达到120亿元。全市农业保险品种进一步增加，地方特色产业收益保险覆盖面明显扩大，大宗农畜产品保险单位保额标准进一步提高，农业保险总保额占全市农业总产值比例达到全国平均水平，实现全市贫困区县（自治县，以下简称区县）农业保险全覆盖。进一步增强农业保险服务全市农业生产发展能力，满足农户风险保障需求。</w:t>
      </w:r>
    </w:p>
    <w:p w:rsidR="00015345" w:rsidRPr="00015345" w:rsidRDefault="00015345" w:rsidP="007559BC">
      <w:pPr>
        <w:widowControl/>
        <w:spacing w:line="580" w:lineRule="exact"/>
        <w:ind w:firstLineChars="200" w:firstLine="640"/>
        <w:jc w:val="left"/>
        <w:rPr>
          <w:rFonts w:ascii="方正黑体_GBK" w:eastAsia="方正黑体_GBK" w:hAnsi="宋体" w:cs="宋体"/>
          <w:kern w:val="0"/>
          <w:sz w:val="32"/>
          <w:szCs w:val="32"/>
        </w:rPr>
      </w:pPr>
      <w:r w:rsidRPr="00015345">
        <w:rPr>
          <w:rFonts w:ascii="方正黑体_GBK" w:eastAsia="方正黑体_GBK" w:hAnsi="宋体" w:cs="宋体" w:hint="eastAsia"/>
          <w:kern w:val="0"/>
          <w:sz w:val="32"/>
          <w:szCs w:val="32"/>
        </w:rPr>
        <w:t>二、主要工作</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按照区县申报、市级平衡、分类指导的工作原则和逐年提升、分类推进、先试点、再全面的工作步骤，开展“提标”（提高成本保险单位保额标准）、“扩面”（扩大收益保险覆盖范围）、“增品”（增加农业保险品种）三项主要工作。</w:t>
      </w:r>
    </w:p>
    <w:p w:rsidR="00015345" w:rsidRPr="007559BC" w:rsidRDefault="00015345" w:rsidP="007559BC">
      <w:pPr>
        <w:widowControl/>
        <w:spacing w:line="580" w:lineRule="exact"/>
        <w:ind w:firstLineChars="200" w:firstLine="640"/>
        <w:jc w:val="left"/>
        <w:rPr>
          <w:rFonts w:ascii="方正楷体_GBK" w:eastAsia="方正楷体_GBK" w:hAnsi="宋体" w:cs="宋体" w:hint="eastAsia"/>
          <w:kern w:val="0"/>
          <w:sz w:val="32"/>
          <w:szCs w:val="32"/>
        </w:rPr>
      </w:pPr>
      <w:r w:rsidRPr="007559BC">
        <w:rPr>
          <w:rFonts w:ascii="方正楷体_GBK" w:eastAsia="方正楷体_GBK" w:hAnsi="宋体" w:cs="宋体" w:hint="eastAsia"/>
          <w:kern w:val="0"/>
          <w:sz w:val="32"/>
          <w:szCs w:val="32"/>
        </w:rPr>
        <w:t>（一）推进6种中央财政补贴型成本保险“提标”。</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lastRenderedPageBreak/>
        <w:t>中央财政补贴型成本保险是指有中央财政补贴的保障农业生产成本、促进灾后恢复再生产的传统型成本保险。充分发挥中央财政补贴型险种作用，结合我市农业种植养殖业生产成本上涨的实际，提高中央财政支持的水稻、玉米、油菜、马铃薯、生猪和能繁母猪等6个险种单位保额。2018年年底前，将生猪、能繁母猪保险单位保额分别提高至1000元/头、1500元/头，将水稻、玉米、油菜保险单位保额统一提高至500元/亩，将马铃薯保险单位保额提高至600元/亩。2019年，进一步将能繁母猪保险单位保额提高至2000元/头，将水稻、玉米、油菜保险单位保额统一提高至600元/亩。2019年成本保险“提标”后，单位保额较2017年普遍提高1倍左右，在参保数量保持2017年规模不变的情况下，新增保险总保额约36亿元。</w:t>
      </w:r>
    </w:p>
    <w:p w:rsidR="00015345" w:rsidRPr="007559BC" w:rsidRDefault="00015345" w:rsidP="007559BC">
      <w:pPr>
        <w:widowControl/>
        <w:spacing w:line="580" w:lineRule="exact"/>
        <w:ind w:firstLineChars="200" w:firstLine="640"/>
        <w:jc w:val="left"/>
        <w:rPr>
          <w:rFonts w:ascii="方正楷体_GBK" w:eastAsia="方正楷体_GBK" w:hAnsi="宋体" w:cs="宋体"/>
          <w:kern w:val="0"/>
          <w:sz w:val="32"/>
          <w:szCs w:val="32"/>
        </w:rPr>
      </w:pPr>
      <w:r w:rsidRPr="007559BC">
        <w:rPr>
          <w:rFonts w:ascii="方正楷体_GBK" w:eastAsia="方正楷体_GBK" w:hAnsi="宋体" w:cs="宋体" w:hint="eastAsia"/>
          <w:kern w:val="0"/>
          <w:sz w:val="32"/>
          <w:szCs w:val="32"/>
        </w:rPr>
        <w:t>（二）推进6种市级财政补贴型收益保险“扩面”。</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市级财政补贴型收益保险是指有市级财政补贴的保障农产品产量减少、价格下跌而产生的收入损失风险的保险。充分利用市级财政补贴型收益保险，支持全市重点特色农业产业发展，转移市场风险，稳定脱贫增收，扩大生猪、水稻、柑橘、青菜头、蔬菜类和山羊收益保险等6个市级财政补贴型收益保险参保规模。2018年7月底前，总结评估我市已开展的生猪、水稻、柑橘、青菜头、蔬菜类和山羊收益保险的试点成效，重点对通过收益保险促进农村产业结构调整、稳定农民增收、放</w:t>
      </w:r>
      <w:r w:rsidRPr="00015345">
        <w:rPr>
          <w:rFonts w:ascii="方正仿宋_GBK" w:eastAsia="方正仿宋_GBK" w:hAnsi="宋体" w:cs="宋体" w:hint="eastAsia"/>
          <w:kern w:val="0"/>
          <w:sz w:val="32"/>
          <w:szCs w:val="32"/>
        </w:rPr>
        <w:lastRenderedPageBreak/>
        <w:t>大财政资金使用效应等方面的绩效进行综合评估。2019年，根据综合评估情况，进一步推动农业保险与脱贫攻坚深度结合，扩大收益保险试点覆盖范围。生猪收益保险集中在荣昌区、涪陵区、垫江县、黔江区、合川区等区县开展，青菜头收益保险集中在涪陵区、丰都县、垫江县等区县开展，柑橘收益保险集中在万州区、奉节县、忠县、巫山县、梁平区等区县开展，蔬菜收益保险集中在璧山区、潼南区等区开展，水稻收益保险集中在永川区、垫江县、南川区等区县开展，山羊收益保险集中在城口县、秀山县、巫溪县等县开展。2019年收益保险“扩面”后，各险种参保规模较2017年普遍扩大1倍以上，在单位保额保持不变的情况下，新增保险总保额约18.4亿元。</w:t>
      </w:r>
    </w:p>
    <w:p w:rsidR="00015345" w:rsidRPr="007559BC" w:rsidRDefault="00015345" w:rsidP="007559BC">
      <w:pPr>
        <w:widowControl/>
        <w:spacing w:line="580" w:lineRule="exact"/>
        <w:ind w:firstLineChars="200" w:firstLine="640"/>
        <w:jc w:val="left"/>
        <w:rPr>
          <w:rFonts w:ascii="方正楷体_GBK" w:eastAsia="方正楷体_GBK" w:hAnsi="宋体" w:cs="宋体"/>
          <w:kern w:val="0"/>
          <w:sz w:val="32"/>
          <w:szCs w:val="32"/>
        </w:rPr>
      </w:pPr>
      <w:r w:rsidRPr="007559BC">
        <w:rPr>
          <w:rFonts w:ascii="方正楷体_GBK" w:eastAsia="方正楷体_GBK" w:hAnsi="宋体" w:cs="宋体" w:hint="eastAsia"/>
          <w:kern w:val="0"/>
          <w:sz w:val="32"/>
          <w:szCs w:val="32"/>
        </w:rPr>
        <w:t>（三）推进6种区县级财政补贴型农业保险“增品”。</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根据新兴特色优势农业产业发展需求，鼓励区县开展面向农业新产业、新领域的区县级财政补贴型农业保险试点。2018年，启动长寿区鸡蛋、万州区猕猴桃、忠县笋竹等3个农产品收益保险试点工作；2019年，启动江津区花椒、石柱县辣椒和秀山县中药材（含黄精和金银花）等3个农产品收益保险试点工作。各区县政府可根据实际，自行确定其他农产品收益保险试点品种。中国人民财产保险股份有限公司、中华联合财产保险股份有限公司要做好承保试点工作，试点取得成效后，适时</w:t>
      </w:r>
      <w:r w:rsidRPr="00015345">
        <w:rPr>
          <w:rFonts w:ascii="方正仿宋_GBK" w:eastAsia="方正仿宋_GBK" w:hAnsi="宋体" w:cs="宋体" w:hint="eastAsia"/>
          <w:kern w:val="0"/>
          <w:sz w:val="32"/>
          <w:szCs w:val="32"/>
        </w:rPr>
        <w:lastRenderedPageBreak/>
        <w:t>在全市推广。2019年“增品”后，新增保险总保额约5.6亿元。</w:t>
      </w:r>
    </w:p>
    <w:p w:rsidR="00015345" w:rsidRPr="00015345" w:rsidRDefault="00015345" w:rsidP="007559BC">
      <w:pPr>
        <w:widowControl/>
        <w:spacing w:line="580" w:lineRule="exact"/>
        <w:ind w:firstLineChars="200" w:firstLine="640"/>
        <w:jc w:val="left"/>
        <w:rPr>
          <w:rFonts w:ascii="方正黑体_GBK" w:eastAsia="方正黑体_GBK" w:hAnsi="宋体" w:cs="宋体"/>
          <w:kern w:val="0"/>
          <w:sz w:val="32"/>
          <w:szCs w:val="32"/>
        </w:rPr>
      </w:pPr>
      <w:r w:rsidRPr="00015345">
        <w:rPr>
          <w:rFonts w:ascii="方正黑体_GBK" w:eastAsia="方正黑体_GBK" w:hAnsi="宋体" w:cs="宋体" w:hint="eastAsia"/>
          <w:kern w:val="0"/>
          <w:sz w:val="32"/>
          <w:szCs w:val="32"/>
        </w:rPr>
        <w:t>三、资金安排</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提标”资金安排。2018―2019年，在保费费率和财政补贴比例不变的情况下，分步实施中央财政补贴险种“提标”到位，2019年投入总保费资金较2017年增加2.14亿元。其中，争取中央财政新增补贴资金1亿元，市级财政新增补贴资金0.39亿元，区县级财政新增补贴资金0.29亿元，农户自缴资金新增0.46亿元。</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扩面”资金安排。2019年，实施市级财政补贴的特色产业收益保险“扩面”，投入保费资金较2017年增加0.92亿元。其中，市级财政新增补贴资金0.39亿元，区县级财政新增补贴资金0.26亿元，农户自缴资金新增0.27亿元。</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“增品”资金安排，主要由区县级财政自筹解决。</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2019年“提标”“扩面”到位后，较2017年共新增市级财政补贴资金0.78亿元，可通过统筹使用农业生产发展资金或争取中央财政对我市特色产业收益保险试点的奖补资金解决。</w:t>
      </w:r>
    </w:p>
    <w:p w:rsidR="00015345" w:rsidRPr="00015345" w:rsidRDefault="00015345" w:rsidP="007559BC">
      <w:pPr>
        <w:widowControl/>
        <w:spacing w:line="580" w:lineRule="exact"/>
        <w:ind w:firstLineChars="200" w:firstLine="640"/>
        <w:jc w:val="left"/>
        <w:rPr>
          <w:rFonts w:ascii="方正黑体_GBK" w:eastAsia="方正黑体_GBK" w:hAnsi="宋体" w:cs="宋体"/>
          <w:kern w:val="0"/>
          <w:sz w:val="32"/>
          <w:szCs w:val="32"/>
        </w:rPr>
      </w:pPr>
      <w:r w:rsidRPr="00015345">
        <w:rPr>
          <w:rFonts w:ascii="方正黑体_GBK" w:eastAsia="方正黑体_GBK" w:hAnsi="宋体" w:cs="宋体" w:hint="eastAsia"/>
          <w:kern w:val="0"/>
          <w:sz w:val="32"/>
          <w:szCs w:val="32"/>
        </w:rPr>
        <w:t>四、保障措施</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7559BC">
        <w:rPr>
          <w:rFonts w:ascii="方正楷体_GBK" w:eastAsia="方正楷体_GBK" w:hAnsi="宋体" w:cs="宋体" w:hint="eastAsia"/>
          <w:kern w:val="0"/>
          <w:sz w:val="32"/>
          <w:szCs w:val="32"/>
        </w:rPr>
        <w:t>（一）加强组织领导。</w:t>
      </w:r>
      <w:r w:rsidRPr="003F71D0">
        <w:rPr>
          <w:rFonts w:ascii="方正仿宋_GBK" w:eastAsia="方正仿宋_GBK" w:hAnsi="宋体" w:cs="宋体" w:hint="eastAsia"/>
          <w:kern w:val="0"/>
          <w:sz w:val="32"/>
          <w:szCs w:val="32"/>
        </w:rPr>
        <w:t>进一步健全全市农业保险工作联席会议机制，强化部门协作联动，稳妥有序推进农业保险保障倍</w:t>
      </w:r>
      <w:r w:rsidRPr="003F71D0">
        <w:rPr>
          <w:rFonts w:ascii="方正仿宋_GBK" w:eastAsia="方正仿宋_GBK" w:hAnsi="宋体" w:cs="宋体" w:hint="eastAsia"/>
          <w:kern w:val="0"/>
          <w:sz w:val="32"/>
          <w:szCs w:val="32"/>
        </w:rPr>
        <w:lastRenderedPageBreak/>
        <w:t>增计划工作。加强对各区县农业保</w:t>
      </w:r>
      <w:r w:rsidRPr="00015345">
        <w:rPr>
          <w:rFonts w:ascii="方正仿宋_GBK" w:eastAsia="方正仿宋_GBK" w:hAnsi="宋体" w:cs="宋体" w:hint="eastAsia"/>
          <w:kern w:val="0"/>
          <w:sz w:val="32"/>
          <w:szCs w:val="32"/>
        </w:rPr>
        <w:t>险开展情况的监督检查，切实维护好农民切身利益。</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7559BC">
        <w:rPr>
          <w:rFonts w:ascii="方正楷体_GBK" w:eastAsia="方正楷体_GBK" w:hAnsi="宋体" w:cs="宋体" w:hint="eastAsia"/>
          <w:kern w:val="0"/>
          <w:sz w:val="32"/>
          <w:szCs w:val="32"/>
        </w:rPr>
        <w:t>（二）明确责任分工。</w:t>
      </w:r>
      <w:r w:rsidRPr="00015345">
        <w:rPr>
          <w:rFonts w:ascii="方正仿宋_GBK" w:eastAsia="方正仿宋_GBK" w:hAnsi="宋体" w:cs="宋体" w:hint="eastAsia"/>
          <w:kern w:val="0"/>
          <w:sz w:val="32"/>
          <w:szCs w:val="32"/>
        </w:rPr>
        <w:t>市农委、市金融办负责组织有关责任部门、保险机构等，定期通报情况、协调解决推进农业保险的有关问题。市农委要加强对农业生产、动物防疫及农业保险理赔方面的技术指导、咨询和服务，为农业保险工作提供技术支撑。市金融办要指导保险机构根据我市农业生产需求及政策性农业保险推进计划，做好农业保险工作。市财政局要加强农业保险保费补贴资金保障，根据实际保险需求逐步提高我市农业保险发展专项资金的财政预算额度，采取以奖代补等方式予以鼓励支持，并加强对保费补贴资金使用情况的监督检查和效果评价。区县政府要整合涉农资金、扶贫资金，按一定比例用于区县优势特色产业保险。重庆保监局要加强对保险机构办理农业保险业务的监督。</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7559BC">
        <w:rPr>
          <w:rFonts w:ascii="方正楷体_GBK" w:eastAsia="方正楷体_GBK" w:hAnsi="宋体" w:cs="宋体" w:hint="eastAsia"/>
          <w:kern w:val="0"/>
          <w:sz w:val="32"/>
          <w:szCs w:val="32"/>
        </w:rPr>
        <w:t>（三）完善“政保”合作服务体系。</w:t>
      </w:r>
      <w:r w:rsidRPr="00015345">
        <w:rPr>
          <w:rFonts w:ascii="方正仿宋_GBK" w:eastAsia="方正仿宋_GBK" w:hAnsi="宋体" w:cs="宋体" w:hint="eastAsia"/>
          <w:kern w:val="0"/>
          <w:sz w:val="32"/>
          <w:szCs w:val="32"/>
        </w:rPr>
        <w:t>各区县政府要进一步明确农业保险工作牵头部门，统筹推动农业保险政策落实到镇（乡）村（组）。承保机构要加强与畜牧站、农技站、基层农业服务中心的合作，建立基层农业保险服务网点，发展农村协保人员，加大农业风险预防管理和服务投入，提高服务能力和承保理赔水平。充分发挥基层农业服务中心和保险机构作用，加大农业保险宣传力度，面向农民积极宣传农业保险重要作</w:t>
      </w:r>
      <w:r w:rsidRPr="00015345">
        <w:rPr>
          <w:rFonts w:ascii="方正仿宋_GBK" w:eastAsia="方正仿宋_GBK" w:hAnsi="宋体" w:cs="宋体" w:hint="eastAsia"/>
          <w:kern w:val="0"/>
          <w:sz w:val="32"/>
          <w:szCs w:val="32"/>
        </w:rPr>
        <w:lastRenderedPageBreak/>
        <w:t>用，耐心细致讲解保险条款内容、业务办理流程以及保险公司在农业保险中的责任义务等相关事宜，努力争取农民理解支持农业保险工作，充分调动农民参保积极性。</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 </w:t>
      </w:r>
    </w:p>
    <w:p w:rsidR="00015345" w:rsidRPr="00015345" w:rsidRDefault="00015345" w:rsidP="007559BC">
      <w:pPr>
        <w:widowControl/>
        <w:spacing w:line="580" w:lineRule="exact"/>
        <w:ind w:firstLineChars="200" w:firstLine="64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附件：1．中央财政补贴险种提标计划表</w:t>
      </w:r>
    </w:p>
    <w:p w:rsidR="00015345" w:rsidRPr="00015345" w:rsidRDefault="00015345" w:rsidP="003F71D0">
      <w:pPr>
        <w:widowControl/>
        <w:spacing w:line="580" w:lineRule="exact"/>
        <w:ind w:firstLineChars="500" w:firstLine="1600"/>
        <w:jc w:val="left"/>
        <w:rPr>
          <w:rFonts w:ascii="方正仿宋_GBK" w:eastAsia="方正仿宋_GBK" w:hAnsi="宋体" w:cs="宋体"/>
          <w:kern w:val="0"/>
          <w:sz w:val="32"/>
          <w:szCs w:val="32"/>
        </w:rPr>
      </w:pPr>
      <w:r w:rsidRPr="00015345">
        <w:rPr>
          <w:rFonts w:ascii="方正仿宋_GBK" w:eastAsia="方正仿宋_GBK" w:hAnsi="宋体" w:cs="宋体" w:hint="eastAsia"/>
          <w:kern w:val="0"/>
          <w:sz w:val="32"/>
          <w:szCs w:val="32"/>
        </w:rPr>
        <w:t>2．市级财政补贴的收益保险险种扩面计划表</w:t>
      </w:r>
    </w:p>
    <w:p w:rsidR="00F92B10" w:rsidRDefault="00015345" w:rsidP="003F71D0">
      <w:pPr>
        <w:widowControl/>
        <w:spacing w:line="580" w:lineRule="exact"/>
        <w:ind w:firstLineChars="500" w:firstLine="1600"/>
        <w:jc w:val="left"/>
        <w:rPr>
          <w:rFonts w:ascii="方正黑体_GBK" w:eastAsia="方正黑体_GBK" w:hAnsi="宋体" w:cs="宋体"/>
          <w:kern w:val="0"/>
          <w:sz w:val="32"/>
          <w:szCs w:val="32"/>
        </w:rPr>
      </w:pPr>
      <w:r w:rsidRPr="00015345">
        <w:rPr>
          <w:rFonts w:ascii="方正仿宋_GBK" w:eastAsia="方正仿宋_GBK" w:hAnsi="宋体" w:cs="宋体" w:hint="eastAsia"/>
          <w:kern w:val="0"/>
          <w:sz w:val="32"/>
          <w:szCs w:val="32"/>
        </w:rPr>
        <w:t>3．区县级财政补贴的农业保险险种增品计划表</w:t>
      </w:r>
      <w:r w:rsidRPr="00015345">
        <w:rPr>
          <w:rFonts w:ascii="方正仿宋_GBK" w:eastAsia="方正仿宋_GBK" w:hAnsi="宋体" w:cs="宋体" w:hint="eastAsia"/>
          <w:kern w:val="0"/>
          <w:sz w:val="32"/>
          <w:szCs w:val="32"/>
        </w:rPr>
        <w:br/>
      </w:r>
    </w:p>
    <w:p w:rsidR="00F92B10" w:rsidRDefault="00F92B10" w:rsidP="00F92B10">
      <w:pPr>
        <w:widowControl/>
        <w:spacing w:line="580" w:lineRule="exact"/>
        <w:jc w:val="left"/>
        <w:rPr>
          <w:rFonts w:ascii="方正黑体_GBK" w:eastAsia="方正黑体_GBK" w:hAnsi="宋体" w:cs="宋体"/>
          <w:kern w:val="0"/>
          <w:sz w:val="32"/>
          <w:szCs w:val="32"/>
        </w:rPr>
        <w:sectPr w:rsidR="00F92B10">
          <w:headerReference w:type="default" r:id="rId8"/>
          <w:footerReference w:type="default" r:id="rId9"/>
          <w:pgSz w:w="11906" w:h="16838"/>
          <w:pgMar w:top="1962" w:right="1474" w:bottom="1848" w:left="1587" w:header="851" w:footer="992" w:gutter="0"/>
          <w:pgNumType w:fmt="numberInDash"/>
          <w:cols w:space="0"/>
          <w:docGrid w:type="lines" w:linePitch="316"/>
        </w:sectPr>
      </w:pPr>
    </w:p>
    <w:p w:rsidR="00F92B10" w:rsidRDefault="00015345" w:rsidP="00F92B10">
      <w:pPr>
        <w:widowControl/>
        <w:spacing w:line="580" w:lineRule="exact"/>
        <w:jc w:val="left"/>
        <w:rPr>
          <w:rFonts w:ascii="方正黑体_GBK" w:eastAsia="方正黑体_GBK" w:hAnsi="宋体" w:cs="宋体"/>
          <w:kern w:val="0"/>
          <w:sz w:val="32"/>
          <w:szCs w:val="32"/>
        </w:rPr>
      </w:pPr>
      <w:r w:rsidRPr="00015345">
        <w:rPr>
          <w:rFonts w:ascii="方正黑体_GBK" w:eastAsia="方正黑体_GBK" w:hAnsi="宋体" w:cs="宋体" w:hint="eastAsia"/>
          <w:kern w:val="0"/>
          <w:sz w:val="32"/>
          <w:szCs w:val="32"/>
        </w:rPr>
        <w:lastRenderedPageBreak/>
        <w:t>附件</w:t>
      </w:r>
      <w:r w:rsidR="003F71D0">
        <w:rPr>
          <w:rFonts w:ascii="方正黑体_GBK" w:eastAsia="方正黑体_GBK" w:hAnsi="宋体" w:cs="宋体" w:hint="eastAsia"/>
          <w:kern w:val="0"/>
          <w:sz w:val="32"/>
          <w:szCs w:val="32"/>
        </w:rPr>
        <w:t>1</w:t>
      </w:r>
    </w:p>
    <w:p w:rsidR="00F92B10" w:rsidRDefault="00F92B10" w:rsidP="00015345">
      <w:pPr>
        <w:widowControl/>
        <w:spacing w:line="580" w:lineRule="exact"/>
        <w:ind w:firstLine="1595"/>
        <w:jc w:val="left"/>
        <w:rPr>
          <w:rFonts w:ascii="方正黑体_GBK" w:eastAsia="方正黑体_GBK" w:hAnsi="宋体" w:cs="宋体"/>
          <w:kern w:val="0"/>
          <w:sz w:val="32"/>
          <w:szCs w:val="32"/>
        </w:rPr>
      </w:pPr>
    </w:p>
    <w:p w:rsidR="00015345" w:rsidRDefault="00015345" w:rsidP="00F92B10">
      <w:pPr>
        <w:widowControl/>
        <w:spacing w:line="580" w:lineRule="exact"/>
        <w:jc w:val="center"/>
        <w:rPr>
          <w:rFonts w:ascii="方正小标宋_GBK" w:eastAsia="方正小标宋_GBK" w:hAnsi="宋体" w:cs="宋体"/>
          <w:kern w:val="0"/>
          <w:sz w:val="44"/>
          <w:szCs w:val="44"/>
        </w:rPr>
      </w:pPr>
      <w:r w:rsidRPr="00015345">
        <w:rPr>
          <w:rFonts w:ascii="方正小标宋_GBK" w:eastAsia="方正小标宋_GBK" w:hAnsi="宋体" w:cs="宋体" w:hint="eastAsia"/>
          <w:kern w:val="0"/>
          <w:sz w:val="44"/>
          <w:szCs w:val="44"/>
        </w:rPr>
        <w:t>中央财政补贴险种提标计划表</w:t>
      </w:r>
    </w:p>
    <w:p w:rsidR="00F92B10" w:rsidRPr="00015345" w:rsidRDefault="00F92B10" w:rsidP="00F92B10">
      <w:pPr>
        <w:widowControl/>
        <w:spacing w:line="580" w:lineRule="exact"/>
        <w:ind w:firstLine="1595"/>
        <w:jc w:val="center"/>
        <w:rPr>
          <w:rFonts w:ascii="方正小标宋_GBK" w:eastAsia="方正小标宋_GBK" w:hAnsi="宋体" w:cs="宋体"/>
          <w:kern w:val="0"/>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559"/>
        <w:gridCol w:w="646"/>
        <w:gridCol w:w="823"/>
        <w:gridCol w:w="823"/>
        <w:gridCol w:w="823"/>
        <w:gridCol w:w="1075"/>
        <w:gridCol w:w="945"/>
        <w:gridCol w:w="945"/>
        <w:gridCol w:w="823"/>
        <w:gridCol w:w="773"/>
        <w:gridCol w:w="823"/>
        <w:gridCol w:w="773"/>
        <w:gridCol w:w="823"/>
        <w:gridCol w:w="773"/>
        <w:gridCol w:w="823"/>
        <w:gridCol w:w="768"/>
      </w:tblGrid>
      <w:tr w:rsidR="00F92B10" w:rsidRPr="00F92B10" w:rsidTr="00F92B10">
        <w:trPr>
          <w:trHeight w:val="600"/>
        </w:trPr>
        <w:tc>
          <w:tcPr>
            <w:tcW w:w="215"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提标险种</w:t>
            </w:r>
          </w:p>
        </w:tc>
        <w:tc>
          <w:tcPr>
            <w:tcW w:w="248"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费率</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参保数量（万亩、万头）</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计划提标前单位保额（元</w:t>
            </w:r>
            <w:r w:rsidRPr="00F92B10">
              <w:rPr>
                <w:rFonts w:ascii="宋体" w:eastAsia="宋体" w:hAnsi="宋体" w:cs="宋体" w:hint="eastAsia"/>
                <w:b/>
                <w:kern w:val="0"/>
                <w:sz w:val="24"/>
              </w:rPr>
              <w:t>/亩，元/头）</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计划提标后单位保额（元</w:t>
            </w:r>
            <w:r w:rsidRPr="00F92B10">
              <w:rPr>
                <w:rFonts w:ascii="宋体" w:eastAsia="宋体" w:hAnsi="宋体" w:cs="宋体" w:hint="eastAsia"/>
                <w:b/>
                <w:kern w:val="0"/>
                <w:sz w:val="24"/>
              </w:rPr>
              <w:t>/亩，元/头）</w:t>
            </w:r>
          </w:p>
        </w:tc>
        <w:tc>
          <w:tcPr>
            <w:tcW w:w="413"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提标后总保额</w:t>
            </w:r>
            <w:r w:rsidRPr="00015345">
              <w:rPr>
                <w:rFonts w:ascii="宋体" w:eastAsia="宋体" w:hAnsi="宋体" w:cs="宋体" w:hint="eastAsia"/>
                <w:b/>
                <w:kern w:val="0"/>
                <w:sz w:val="24"/>
              </w:rPr>
              <w:br/>
              <w:t>（万元）</w:t>
            </w:r>
          </w:p>
        </w:tc>
        <w:tc>
          <w:tcPr>
            <w:tcW w:w="363"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提标后总共所需保费（万元）</w:t>
            </w:r>
          </w:p>
        </w:tc>
        <w:tc>
          <w:tcPr>
            <w:tcW w:w="2815" w:type="pct"/>
            <w:gridSpan w:val="9"/>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提</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标</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后</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保</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费</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新</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增</w:t>
            </w:r>
          </w:p>
        </w:tc>
      </w:tr>
      <w:tr w:rsidR="00F92B10" w:rsidRPr="00F92B10" w:rsidTr="00F92B10">
        <w:trPr>
          <w:trHeight w:val="632"/>
        </w:trPr>
        <w:tc>
          <w:tcPr>
            <w:tcW w:w="215"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248"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413"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363" w:type="pct"/>
            <w:vMerge/>
            <w:vAlign w:val="center"/>
            <w:hideMark/>
          </w:tcPr>
          <w:p w:rsidR="00015345" w:rsidRPr="00015345" w:rsidRDefault="00015345" w:rsidP="00F92B10">
            <w:pPr>
              <w:widowControl/>
              <w:spacing w:line="240" w:lineRule="atLeast"/>
              <w:jc w:val="left"/>
              <w:rPr>
                <w:rFonts w:ascii="宋体" w:eastAsia="宋体" w:hAnsi="宋体" w:cs="宋体"/>
                <w:b/>
                <w:kern w:val="0"/>
                <w:sz w:val="24"/>
              </w:rPr>
            </w:pPr>
          </w:p>
        </w:tc>
        <w:tc>
          <w:tcPr>
            <w:tcW w:w="363"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提标后较2017年保费新增（万元）</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中央财政补贴新增</w:t>
            </w:r>
            <w:r w:rsidRPr="00015345">
              <w:rPr>
                <w:rFonts w:ascii="宋体" w:eastAsia="宋体" w:hAnsi="宋体" w:cs="宋体" w:hint="eastAsia"/>
                <w:b/>
                <w:kern w:val="0"/>
                <w:sz w:val="24"/>
              </w:rPr>
              <w:br/>
              <w:t>（万元）</w:t>
            </w:r>
          </w:p>
        </w:tc>
        <w:tc>
          <w:tcPr>
            <w:tcW w:w="297"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中央财政补贴比例</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市级财政补贴新增</w:t>
            </w:r>
            <w:r w:rsidRPr="00015345">
              <w:rPr>
                <w:rFonts w:ascii="宋体" w:eastAsia="宋体" w:hAnsi="宋体" w:cs="宋体" w:hint="eastAsia"/>
                <w:b/>
                <w:kern w:val="0"/>
                <w:sz w:val="24"/>
              </w:rPr>
              <w:br/>
              <w:t>（万元）</w:t>
            </w:r>
          </w:p>
        </w:tc>
        <w:tc>
          <w:tcPr>
            <w:tcW w:w="297"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市级财政补贴比例</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区县级财政补贴新增</w:t>
            </w:r>
            <w:r w:rsidRPr="00015345">
              <w:rPr>
                <w:rFonts w:ascii="宋体" w:eastAsia="宋体" w:hAnsi="宋体" w:cs="宋体" w:hint="eastAsia"/>
                <w:b/>
                <w:kern w:val="0"/>
                <w:sz w:val="24"/>
              </w:rPr>
              <w:br/>
              <w:t>（万元）</w:t>
            </w:r>
          </w:p>
        </w:tc>
        <w:tc>
          <w:tcPr>
            <w:tcW w:w="297"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区县级财政补贴比例</w:t>
            </w:r>
          </w:p>
        </w:tc>
        <w:tc>
          <w:tcPr>
            <w:tcW w:w="316"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农户自缴新增</w:t>
            </w:r>
            <w:r w:rsidRPr="00015345">
              <w:rPr>
                <w:rFonts w:ascii="宋体" w:eastAsia="宋体" w:hAnsi="宋体" w:cs="宋体" w:hint="eastAsia"/>
                <w:b/>
                <w:kern w:val="0"/>
                <w:sz w:val="24"/>
              </w:rPr>
              <w:br/>
              <w:t>（万元）</w:t>
            </w:r>
          </w:p>
        </w:tc>
        <w:tc>
          <w:tcPr>
            <w:tcW w:w="297" w:type="pct"/>
            <w:vMerge w:val="restart"/>
            <w:vAlign w:val="center"/>
            <w:hideMark/>
          </w:tcPr>
          <w:p w:rsidR="00015345" w:rsidRPr="00015345" w:rsidRDefault="00015345" w:rsidP="00F92B10">
            <w:pPr>
              <w:widowControl/>
              <w:spacing w:line="240" w:lineRule="atLeast"/>
              <w:jc w:val="center"/>
              <w:rPr>
                <w:rFonts w:ascii="宋体" w:eastAsia="宋体" w:hAnsi="宋体" w:cs="宋体"/>
                <w:b/>
                <w:kern w:val="0"/>
                <w:sz w:val="24"/>
              </w:rPr>
            </w:pPr>
            <w:r w:rsidRPr="00015345">
              <w:rPr>
                <w:rFonts w:ascii="宋体" w:eastAsia="宋体" w:hAnsi="宋体" w:cs="宋体" w:hint="eastAsia"/>
                <w:b/>
                <w:kern w:val="0"/>
                <w:sz w:val="24"/>
              </w:rPr>
              <w:t>农户自缴比例</w:t>
            </w:r>
          </w:p>
        </w:tc>
      </w:tr>
      <w:tr w:rsidR="00F92B10" w:rsidRPr="00F92B10" w:rsidTr="00F92B10">
        <w:trPr>
          <w:trHeight w:val="632"/>
        </w:trPr>
        <w:tc>
          <w:tcPr>
            <w:tcW w:w="215"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248"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413"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63"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63"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297"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297"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297"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316"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c>
          <w:tcPr>
            <w:tcW w:w="297" w:type="pct"/>
            <w:vMerge/>
            <w:vAlign w:val="center"/>
            <w:hideMark/>
          </w:tcPr>
          <w:p w:rsidR="00015345" w:rsidRPr="00015345" w:rsidRDefault="00015345" w:rsidP="00F92B10">
            <w:pPr>
              <w:widowControl/>
              <w:spacing w:line="240" w:lineRule="atLeast"/>
              <w:jc w:val="left"/>
              <w:rPr>
                <w:rFonts w:ascii="宋体" w:eastAsia="宋体" w:hAnsi="宋体" w:cs="宋体"/>
                <w:kern w:val="0"/>
                <w:sz w:val="24"/>
              </w:rPr>
            </w:pP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水稻</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198</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300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600</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118800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7128</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3564</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1426</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891</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356</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891</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玉米</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144</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300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600</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86400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5184</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2592</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1037</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648</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259</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648</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lastRenderedPageBreak/>
              <w:t>油菜</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24</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300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600</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14400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720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360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144</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90</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36</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90</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马铃薯</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53</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400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600</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31800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1590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530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212</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133</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53</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133</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25%</w:t>
            </w: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能繁母猪</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52</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1000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2000</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104000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6240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3120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1560</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468</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468</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624</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20%</w:t>
            </w: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生猪</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6%</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374</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500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1000</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374000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22440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11220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5610</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50%</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1683</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1683</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15%</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2244</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20%</w:t>
            </w:r>
          </w:p>
        </w:tc>
      </w:tr>
      <w:tr w:rsidR="00F92B10" w:rsidRPr="00F92B10" w:rsidTr="00F92B10">
        <w:trPr>
          <w:trHeight w:val="285"/>
        </w:trPr>
        <w:tc>
          <w:tcPr>
            <w:tcW w:w="215"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合计</w:t>
            </w:r>
          </w:p>
        </w:tc>
        <w:tc>
          <w:tcPr>
            <w:tcW w:w="248"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41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729400</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43302</w:t>
            </w:r>
          </w:p>
        </w:tc>
        <w:tc>
          <w:tcPr>
            <w:tcW w:w="363"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21386</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9988</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3913</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2856</w:t>
            </w:r>
          </w:p>
        </w:tc>
        <w:tc>
          <w:tcPr>
            <w:tcW w:w="297"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 </w:t>
            </w:r>
          </w:p>
        </w:tc>
        <w:tc>
          <w:tcPr>
            <w:tcW w:w="316" w:type="pct"/>
            <w:vAlign w:val="center"/>
            <w:hideMark/>
          </w:tcPr>
          <w:p w:rsidR="00015345" w:rsidRPr="00015345" w:rsidRDefault="00015345" w:rsidP="00F92B10">
            <w:pPr>
              <w:widowControl/>
              <w:spacing w:line="240" w:lineRule="atLeast"/>
              <w:jc w:val="center"/>
              <w:rPr>
                <w:rFonts w:ascii="宋体" w:eastAsia="宋体" w:hAnsi="宋体" w:cs="宋体"/>
                <w:kern w:val="0"/>
                <w:sz w:val="24"/>
              </w:rPr>
            </w:pPr>
            <w:r w:rsidRPr="00015345">
              <w:rPr>
                <w:rFonts w:ascii="宋体" w:eastAsia="宋体" w:hAnsi="宋体" w:cs="宋体" w:hint="eastAsia"/>
                <w:kern w:val="0"/>
                <w:sz w:val="24"/>
              </w:rPr>
              <w:t>4630</w:t>
            </w:r>
          </w:p>
        </w:tc>
        <w:tc>
          <w:tcPr>
            <w:tcW w:w="297" w:type="pct"/>
            <w:vAlign w:val="center"/>
            <w:hideMark/>
          </w:tcPr>
          <w:p w:rsidR="00015345" w:rsidRPr="00015345" w:rsidRDefault="00015345" w:rsidP="00F92B10">
            <w:pPr>
              <w:widowControl/>
              <w:spacing w:line="240" w:lineRule="atLeast"/>
              <w:jc w:val="left"/>
              <w:rPr>
                <w:rFonts w:ascii="宋体" w:eastAsia="宋体" w:hAnsi="宋体" w:cs="宋体"/>
                <w:kern w:val="0"/>
                <w:sz w:val="24"/>
              </w:rPr>
            </w:pPr>
            <w:r w:rsidRPr="00015345">
              <w:rPr>
                <w:rFonts w:ascii="宋体" w:eastAsia="宋体" w:hAnsi="宋体" w:cs="宋体" w:hint="eastAsia"/>
                <w:kern w:val="0"/>
                <w:sz w:val="24"/>
              </w:rPr>
              <w:t> </w:t>
            </w:r>
          </w:p>
        </w:tc>
      </w:tr>
    </w:tbl>
    <w:p w:rsidR="003F71D0" w:rsidRDefault="00015345" w:rsidP="00015345">
      <w:pPr>
        <w:widowControl/>
        <w:spacing w:line="580" w:lineRule="exact"/>
        <w:jc w:val="left"/>
        <w:rPr>
          <w:rFonts w:ascii="方正黑体_GBK" w:eastAsia="方正黑体_GBK" w:hAnsi="宋体" w:cs="宋体"/>
          <w:kern w:val="0"/>
          <w:sz w:val="32"/>
          <w:szCs w:val="32"/>
        </w:rPr>
      </w:pPr>
      <w:r w:rsidRPr="00015345">
        <w:rPr>
          <w:rFonts w:ascii="方正仿宋_GBK" w:eastAsia="方正仿宋_GBK" w:hAnsi="宋体" w:cs="宋体" w:hint="eastAsia"/>
          <w:kern w:val="0"/>
          <w:sz w:val="32"/>
          <w:szCs w:val="32"/>
        </w:rPr>
        <w:br/>
      </w:r>
    </w:p>
    <w:p w:rsidR="003F71D0" w:rsidRDefault="003F71D0" w:rsidP="00015345">
      <w:pPr>
        <w:widowControl/>
        <w:spacing w:line="580" w:lineRule="exact"/>
        <w:jc w:val="left"/>
        <w:rPr>
          <w:rFonts w:ascii="方正黑体_GBK" w:eastAsia="方正黑体_GBK" w:hAnsi="宋体" w:cs="宋体"/>
          <w:kern w:val="0"/>
          <w:sz w:val="32"/>
          <w:szCs w:val="32"/>
        </w:rPr>
      </w:pPr>
    </w:p>
    <w:p w:rsidR="003F71D0" w:rsidRDefault="003F71D0" w:rsidP="00015345">
      <w:pPr>
        <w:widowControl/>
        <w:spacing w:line="580" w:lineRule="exact"/>
        <w:jc w:val="left"/>
        <w:rPr>
          <w:rFonts w:ascii="方正黑体_GBK" w:eastAsia="方正黑体_GBK" w:hAnsi="宋体" w:cs="宋体"/>
          <w:kern w:val="0"/>
          <w:sz w:val="32"/>
          <w:szCs w:val="32"/>
        </w:rPr>
      </w:pPr>
    </w:p>
    <w:p w:rsidR="003F71D0" w:rsidRDefault="003F71D0" w:rsidP="00015345">
      <w:pPr>
        <w:widowControl/>
        <w:spacing w:line="580" w:lineRule="exact"/>
        <w:jc w:val="left"/>
        <w:rPr>
          <w:rFonts w:ascii="方正黑体_GBK" w:eastAsia="方正黑体_GBK" w:hAnsi="宋体" w:cs="宋体"/>
          <w:kern w:val="0"/>
          <w:sz w:val="32"/>
          <w:szCs w:val="32"/>
        </w:rPr>
      </w:pPr>
    </w:p>
    <w:p w:rsidR="003F71D0" w:rsidRDefault="003F71D0" w:rsidP="00015345">
      <w:pPr>
        <w:widowControl/>
        <w:spacing w:line="580" w:lineRule="exact"/>
        <w:jc w:val="left"/>
        <w:rPr>
          <w:rFonts w:ascii="方正黑体_GBK" w:eastAsia="方正黑体_GBK" w:hAnsi="宋体" w:cs="宋体"/>
          <w:kern w:val="0"/>
          <w:sz w:val="32"/>
          <w:szCs w:val="32"/>
        </w:rPr>
      </w:pPr>
    </w:p>
    <w:p w:rsidR="00F92B10" w:rsidRPr="00F92B10" w:rsidRDefault="00015345" w:rsidP="00015345">
      <w:pPr>
        <w:widowControl/>
        <w:spacing w:line="580" w:lineRule="exact"/>
        <w:jc w:val="left"/>
        <w:rPr>
          <w:rFonts w:ascii="方正黑体_GBK" w:eastAsia="方正黑体_GBK" w:hAnsi="宋体" w:cs="宋体"/>
          <w:kern w:val="0"/>
          <w:sz w:val="32"/>
          <w:szCs w:val="32"/>
        </w:rPr>
      </w:pPr>
      <w:r w:rsidRPr="00015345">
        <w:rPr>
          <w:rFonts w:ascii="方正黑体_GBK" w:eastAsia="方正黑体_GBK" w:hAnsi="宋体" w:cs="宋体" w:hint="eastAsia"/>
          <w:kern w:val="0"/>
          <w:sz w:val="32"/>
          <w:szCs w:val="32"/>
        </w:rPr>
        <w:lastRenderedPageBreak/>
        <w:t>附件</w:t>
      </w:r>
      <w:r w:rsidR="003F71D0">
        <w:rPr>
          <w:rFonts w:ascii="方正黑体_GBK" w:eastAsia="方正黑体_GBK" w:hAnsi="宋体" w:cs="宋体" w:hint="eastAsia"/>
          <w:kern w:val="0"/>
          <w:sz w:val="32"/>
          <w:szCs w:val="32"/>
        </w:rPr>
        <w:t>2</w:t>
      </w:r>
    </w:p>
    <w:p w:rsidR="00F92B10" w:rsidRDefault="00F92B10" w:rsidP="00015345">
      <w:pPr>
        <w:widowControl/>
        <w:spacing w:line="580" w:lineRule="exact"/>
        <w:jc w:val="left"/>
        <w:rPr>
          <w:rFonts w:ascii="方正仿宋_GBK" w:eastAsia="方正仿宋_GBK" w:hAnsi="宋体" w:cs="宋体"/>
          <w:kern w:val="0"/>
          <w:sz w:val="32"/>
          <w:szCs w:val="32"/>
        </w:rPr>
      </w:pPr>
    </w:p>
    <w:p w:rsidR="00015345" w:rsidRPr="00F92B10" w:rsidRDefault="00015345" w:rsidP="00F92B10">
      <w:pPr>
        <w:widowControl/>
        <w:spacing w:line="580" w:lineRule="exact"/>
        <w:jc w:val="center"/>
        <w:rPr>
          <w:rFonts w:ascii="方正小标宋_GBK" w:eastAsia="方正小标宋_GBK" w:hAnsi="宋体" w:cs="宋体"/>
          <w:kern w:val="0"/>
          <w:sz w:val="44"/>
          <w:szCs w:val="44"/>
        </w:rPr>
      </w:pPr>
      <w:r w:rsidRPr="00015345">
        <w:rPr>
          <w:rFonts w:ascii="方正小标宋_GBK" w:eastAsia="方正小标宋_GBK" w:hAnsi="宋体" w:cs="宋体" w:hint="eastAsia"/>
          <w:kern w:val="0"/>
          <w:sz w:val="44"/>
          <w:szCs w:val="44"/>
        </w:rPr>
        <w:t>市级财政补贴的收益保险险种扩面计划表</w:t>
      </w:r>
    </w:p>
    <w:p w:rsidR="00F92B10" w:rsidRPr="00015345" w:rsidRDefault="00F92B10" w:rsidP="00015345">
      <w:pPr>
        <w:widowControl/>
        <w:spacing w:line="580" w:lineRule="exact"/>
        <w:jc w:val="left"/>
        <w:rPr>
          <w:rFonts w:ascii="方正仿宋_GBK" w:eastAsia="方正仿宋_GBK" w:hAnsi="宋体" w:cs="宋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560"/>
        <w:gridCol w:w="900"/>
        <w:gridCol w:w="1043"/>
        <w:gridCol w:w="853"/>
        <w:gridCol w:w="853"/>
        <w:gridCol w:w="1056"/>
        <w:gridCol w:w="953"/>
        <w:gridCol w:w="832"/>
        <w:gridCol w:w="823"/>
        <w:gridCol w:w="577"/>
        <w:gridCol w:w="833"/>
        <w:gridCol w:w="693"/>
        <w:gridCol w:w="838"/>
        <w:gridCol w:w="698"/>
        <w:gridCol w:w="823"/>
        <w:gridCol w:w="683"/>
      </w:tblGrid>
      <w:tr w:rsidR="00F92B10" w:rsidRPr="00F92B10" w:rsidTr="00F92B10">
        <w:trPr>
          <w:trHeight w:val="855"/>
        </w:trPr>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扩面险种</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费率</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单位保额（元）</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计划扩面前参保数量（万亩、万头）</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计划扩面后参保数量（万亩、万头）</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扩面后总保额（万元）</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扩面后总共所需保费（万元）</w:t>
            </w:r>
          </w:p>
        </w:tc>
        <w:tc>
          <w:tcPr>
            <w:tcW w:w="0" w:type="auto"/>
            <w:gridSpan w:val="9"/>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扩</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面</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后</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保</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费</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新</w:t>
            </w:r>
            <w:r w:rsidRPr="00015345">
              <w:rPr>
                <w:rFonts w:ascii="宋体" w:eastAsia="宋体" w:hAnsi="宋体" w:cs="宋体" w:hint="eastAsia"/>
                <w:b/>
                <w:kern w:val="0"/>
                <w:sz w:val="24"/>
              </w:rPr>
              <w:t> </w:t>
            </w:r>
            <w:r w:rsidRPr="00015345">
              <w:rPr>
                <w:rFonts w:ascii="宋体" w:eastAsia="宋体" w:hAnsi="宋体" w:cs="宋体" w:hint="eastAsia"/>
                <w:b/>
                <w:kern w:val="0"/>
                <w:sz w:val="24"/>
              </w:rPr>
              <w:t> </w:t>
            </w:r>
            <w:r w:rsidRPr="00015345">
              <w:rPr>
                <w:rFonts w:ascii="宋体" w:eastAsia="宋体" w:hAnsi="宋体" w:cs="宋体" w:hint="eastAsia"/>
                <w:b/>
                <w:kern w:val="0"/>
                <w:sz w:val="24"/>
              </w:rPr>
              <w:t>增</w:t>
            </w:r>
          </w:p>
        </w:tc>
      </w:tr>
      <w:tr w:rsidR="00F92B10" w:rsidRPr="00F92B10" w:rsidTr="00F92B10">
        <w:trPr>
          <w:trHeight w:val="632"/>
        </w:trPr>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b/>
                <w:kern w:val="0"/>
                <w:sz w:val="24"/>
              </w:rPr>
            </w:pP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扩面后较</w:t>
            </w:r>
            <w:r w:rsidRPr="00F92B10">
              <w:rPr>
                <w:rFonts w:ascii="宋体" w:eastAsia="宋体" w:hAnsi="宋体" w:cs="宋体" w:hint="eastAsia"/>
                <w:b/>
                <w:kern w:val="0"/>
                <w:sz w:val="24"/>
              </w:rPr>
              <w:t>2017年保费新增</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中央财政补贴（万元）</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中央财政补贴比例</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市级财政补贴新增（万元）</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市级财政补贴比例</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区县级财政补贴新增（万元）</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区县级财政补贴</w:t>
            </w:r>
            <w:r w:rsidRPr="00015345">
              <w:rPr>
                <w:rFonts w:ascii="宋体" w:eastAsia="宋体" w:hAnsi="宋体" w:cs="宋体" w:hint="eastAsia"/>
                <w:b/>
                <w:kern w:val="0"/>
                <w:sz w:val="24"/>
              </w:rPr>
              <w:lastRenderedPageBreak/>
              <w:t>比例</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lastRenderedPageBreak/>
              <w:t>农户自缴新增（万元）</w:t>
            </w:r>
          </w:p>
        </w:tc>
        <w:tc>
          <w:tcPr>
            <w:tcW w:w="0" w:type="auto"/>
            <w:vMerge w:val="restart"/>
            <w:vAlign w:val="center"/>
            <w:hideMark/>
          </w:tcPr>
          <w:p w:rsidR="00015345" w:rsidRPr="00015345" w:rsidRDefault="00015345" w:rsidP="00015345">
            <w:pPr>
              <w:widowControl/>
              <w:spacing w:line="580" w:lineRule="exact"/>
              <w:jc w:val="center"/>
              <w:rPr>
                <w:rFonts w:ascii="宋体" w:eastAsia="宋体" w:hAnsi="宋体" w:cs="宋体"/>
                <w:b/>
                <w:kern w:val="0"/>
                <w:sz w:val="24"/>
              </w:rPr>
            </w:pPr>
            <w:r w:rsidRPr="00015345">
              <w:rPr>
                <w:rFonts w:ascii="宋体" w:eastAsia="宋体" w:hAnsi="宋体" w:cs="宋体" w:hint="eastAsia"/>
                <w:b/>
                <w:kern w:val="0"/>
                <w:sz w:val="24"/>
              </w:rPr>
              <w:t>农户自缴比例</w:t>
            </w:r>
          </w:p>
        </w:tc>
      </w:tr>
      <w:tr w:rsidR="00F92B10" w:rsidRPr="00F92B10" w:rsidTr="00F92B10">
        <w:trPr>
          <w:trHeight w:val="632"/>
        </w:trPr>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c>
          <w:tcPr>
            <w:tcW w:w="0" w:type="auto"/>
            <w:vMerge/>
            <w:vAlign w:val="center"/>
            <w:hideMark/>
          </w:tcPr>
          <w:p w:rsidR="00015345" w:rsidRPr="00015345" w:rsidRDefault="00015345" w:rsidP="00015345">
            <w:pPr>
              <w:widowControl/>
              <w:spacing w:line="580" w:lineRule="exact"/>
              <w:jc w:val="left"/>
              <w:rPr>
                <w:rFonts w:ascii="宋体" w:eastAsia="宋体" w:hAnsi="宋体" w:cs="宋体"/>
                <w:kern w:val="0"/>
                <w:sz w:val="24"/>
              </w:rPr>
            </w:pPr>
          </w:p>
        </w:tc>
      </w:tr>
      <w:tr w:rsidR="00F92B10" w:rsidRPr="00F92B10" w:rsidTr="00F92B10">
        <w:trPr>
          <w:trHeight w:val="285"/>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生猪收益</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5.50%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1400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96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134960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7423</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4343</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1824</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1216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1303</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30%</w:t>
            </w:r>
          </w:p>
        </w:tc>
      </w:tr>
      <w:tr w:rsidR="00F92B10" w:rsidRPr="00F92B10" w:rsidTr="00F92B10">
        <w:trPr>
          <w:trHeight w:val="285"/>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柑橘收益</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3600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9</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78084</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3904</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2284</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959</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640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685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30%</w:t>
            </w:r>
          </w:p>
        </w:tc>
      </w:tr>
      <w:tr w:rsidR="00F92B10" w:rsidRPr="00F92B10" w:rsidTr="00F92B10">
        <w:trPr>
          <w:trHeight w:val="570"/>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青菜头</w:t>
            </w:r>
            <w:r w:rsidRPr="00015345">
              <w:rPr>
                <w:rFonts w:ascii="宋体" w:eastAsia="宋体" w:hAnsi="宋体" w:cs="宋体" w:hint="eastAsia"/>
                <w:kern w:val="0"/>
                <w:sz w:val="24"/>
              </w:rPr>
              <w:lastRenderedPageBreak/>
              <w:t>收益</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lastRenderedPageBreak/>
              <w:t>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600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28920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1446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660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277</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185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198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30%</w:t>
            </w:r>
          </w:p>
        </w:tc>
      </w:tr>
      <w:tr w:rsidR="00F92B10" w:rsidRPr="00F92B10" w:rsidTr="00F92B10">
        <w:trPr>
          <w:trHeight w:val="285"/>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蔬菜收益</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2000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24100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1205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600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252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168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180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30%</w:t>
            </w:r>
          </w:p>
        </w:tc>
      </w:tr>
      <w:tr w:rsidR="00F92B10" w:rsidRPr="00F92B10" w:rsidTr="00F92B10">
        <w:trPr>
          <w:trHeight w:val="285"/>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水稻收益</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4.50%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1380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13</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31</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43235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1946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1139</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478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319</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30%</w:t>
            </w:r>
          </w:p>
        </w:tc>
      </w:tr>
      <w:tr w:rsidR="00F92B10" w:rsidRPr="00F92B10" w:rsidTr="00F92B10">
        <w:trPr>
          <w:trHeight w:val="285"/>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山羊</w:t>
            </w:r>
            <w:r w:rsidRPr="00015345">
              <w:rPr>
                <w:rFonts w:ascii="宋体" w:eastAsia="宋体" w:hAnsi="宋体" w:cs="宋体" w:hint="eastAsia"/>
                <w:kern w:val="0"/>
                <w:sz w:val="24"/>
              </w:rPr>
              <w:lastRenderedPageBreak/>
              <w:t>收益</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lastRenderedPageBreak/>
              <w:t>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720</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7</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5206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312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182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77</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42%</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51</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55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30%</w:t>
            </w:r>
          </w:p>
        </w:tc>
      </w:tr>
      <w:tr w:rsidR="00F92B10" w:rsidRPr="00F92B10" w:rsidTr="00F92B10">
        <w:trPr>
          <w:trHeight w:val="285"/>
        </w:trPr>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合</w:t>
            </w:r>
            <w:r w:rsidRPr="00F92B10">
              <w:rPr>
                <w:rFonts w:ascii="宋体" w:eastAsia="宋体" w:hAnsi="宋体" w:cs="宋体" w:hint="eastAsia"/>
                <w:kern w:val="0"/>
                <w:sz w:val="24"/>
              </w:rPr>
              <w:t> </w:t>
            </w:r>
            <w:r w:rsidRPr="00F92B10">
              <w:rPr>
                <w:rFonts w:ascii="宋体" w:eastAsia="宋体" w:hAnsi="宋体" w:cs="宋体" w:hint="eastAsia"/>
                <w:kern w:val="0"/>
                <w:sz w:val="24"/>
              </w:rPr>
              <w:t> </w:t>
            </w:r>
            <w:r w:rsidRPr="00F92B10">
              <w:rPr>
                <w:rFonts w:ascii="宋体" w:eastAsia="宋体" w:hAnsi="宋体" w:cs="宋体" w:hint="eastAsia"/>
                <w:kern w:val="0"/>
                <w:sz w:val="24"/>
              </w:rPr>
              <w:t>计</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314505</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16236</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9208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3867</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2578</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 </w:t>
            </w:r>
          </w:p>
        </w:tc>
        <w:tc>
          <w:tcPr>
            <w:tcW w:w="0" w:type="auto"/>
            <w:vAlign w:val="center"/>
            <w:hideMark/>
          </w:tcPr>
          <w:p w:rsidR="00015345" w:rsidRPr="00015345" w:rsidRDefault="00015345" w:rsidP="00015345">
            <w:pPr>
              <w:widowControl/>
              <w:spacing w:line="580" w:lineRule="exact"/>
              <w:jc w:val="center"/>
              <w:rPr>
                <w:rFonts w:ascii="宋体" w:eastAsia="宋体" w:hAnsi="宋体" w:cs="宋体"/>
                <w:kern w:val="0"/>
                <w:sz w:val="24"/>
              </w:rPr>
            </w:pPr>
            <w:r w:rsidRPr="00015345">
              <w:rPr>
                <w:rFonts w:ascii="宋体" w:eastAsia="宋体" w:hAnsi="宋体" w:cs="宋体" w:hint="eastAsia"/>
                <w:kern w:val="0"/>
                <w:sz w:val="24"/>
              </w:rPr>
              <w:t>2762</w:t>
            </w:r>
          </w:p>
        </w:tc>
        <w:tc>
          <w:tcPr>
            <w:tcW w:w="0" w:type="auto"/>
            <w:vAlign w:val="center"/>
            <w:hideMark/>
          </w:tcPr>
          <w:p w:rsidR="00015345" w:rsidRPr="00015345" w:rsidRDefault="00015345" w:rsidP="00015345">
            <w:pPr>
              <w:widowControl/>
              <w:spacing w:line="580" w:lineRule="exact"/>
              <w:jc w:val="left"/>
              <w:rPr>
                <w:rFonts w:ascii="宋体" w:eastAsia="宋体" w:hAnsi="宋体" w:cs="宋体"/>
                <w:kern w:val="0"/>
                <w:sz w:val="24"/>
              </w:rPr>
            </w:pPr>
            <w:r w:rsidRPr="00015345">
              <w:rPr>
                <w:rFonts w:ascii="宋体" w:eastAsia="宋体" w:hAnsi="宋体" w:cs="宋体" w:hint="eastAsia"/>
                <w:kern w:val="0"/>
                <w:sz w:val="24"/>
              </w:rPr>
              <w:t> </w:t>
            </w:r>
          </w:p>
        </w:tc>
      </w:tr>
    </w:tbl>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3F71D0" w:rsidRDefault="003F71D0" w:rsidP="00015345">
      <w:pPr>
        <w:widowControl/>
        <w:spacing w:line="580" w:lineRule="exact"/>
        <w:jc w:val="left"/>
        <w:rPr>
          <w:rFonts w:ascii="方正仿宋_GBK" w:eastAsia="方正仿宋_GBK" w:hAnsi="宋体" w:cs="宋体"/>
          <w:kern w:val="0"/>
          <w:sz w:val="32"/>
          <w:szCs w:val="32"/>
        </w:rPr>
      </w:pPr>
    </w:p>
    <w:p w:rsidR="00F92B10" w:rsidRDefault="00015345" w:rsidP="00015345">
      <w:pPr>
        <w:widowControl/>
        <w:spacing w:line="580" w:lineRule="exact"/>
        <w:jc w:val="left"/>
        <w:rPr>
          <w:rFonts w:ascii="方正黑体_GBK" w:eastAsia="方正黑体_GBK" w:hAnsi="宋体" w:cs="宋体"/>
          <w:kern w:val="0"/>
          <w:sz w:val="32"/>
          <w:szCs w:val="32"/>
        </w:rPr>
      </w:pPr>
      <w:r w:rsidRPr="00015345">
        <w:rPr>
          <w:rFonts w:ascii="方正仿宋_GBK" w:eastAsia="方正仿宋_GBK" w:hAnsi="宋体" w:cs="宋体" w:hint="eastAsia"/>
          <w:kern w:val="0"/>
          <w:sz w:val="32"/>
          <w:szCs w:val="32"/>
        </w:rPr>
        <w:lastRenderedPageBreak/>
        <w:br/>
      </w:r>
      <w:r w:rsidRPr="00015345">
        <w:rPr>
          <w:rFonts w:ascii="方正黑体_GBK" w:eastAsia="方正黑体_GBK" w:hAnsi="宋体" w:cs="宋体" w:hint="eastAsia"/>
          <w:kern w:val="0"/>
          <w:sz w:val="32"/>
          <w:szCs w:val="32"/>
        </w:rPr>
        <w:t>附件</w:t>
      </w:r>
      <w:r w:rsidR="003F71D0">
        <w:rPr>
          <w:rFonts w:ascii="方正黑体_GBK" w:eastAsia="方正黑体_GBK" w:hAnsi="宋体" w:cs="宋体" w:hint="eastAsia"/>
          <w:kern w:val="0"/>
          <w:sz w:val="32"/>
          <w:szCs w:val="32"/>
        </w:rPr>
        <w:t>3</w:t>
      </w:r>
    </w:p>
    <w:p w:rsidR="00F92B10" w:rsidRDefault="00F92B10" w:rsidP="00015345">
      <w:pPr>
        <w:widowControl/>
        <w:spacing w:line="580" w:lineRule="exact"/>
        <w:jc w:val="left"/>
        <w:rPr>
          <w:rFonts w:ascii="方正黑体_GBK" w:eastAsia="方正黑体_GBK" w:hAnsi="宋体" w:cs="宋体"/>
          <w:kern w:val="0"/>
          <w:sz w:val="32"/>
          <w:szCs w:val="32"/>
        </w:rPr>
      </w:pPr>
    </w:p>
    <w:p w:rsidR="00015345" w:rsidRPr="00F92B10" w:rsidRDefault="00015345" w:rsidP="00F92B10">
      <w:pPr>
        <w:widowControl/>
        <w:spacing w:line="580" w:lineRule="exact"/>
        <w:jc w:val="center"/>
        <w:rPr>
          <w:rFonts w:ascii="方正小标宋_GBK" w:eastAsia="方正小标宋_GBK" w:hAnsi="宋体" w:cs="宋体"/>
          <w:kern w:val="0"/>
          <w:sz w:val="44"/>
          <w:szCs w:val="44"/>
        </w:rPr>
      </w:pPr>
      <w:r w:rsidRPr="00015345">
        <w:rPr>
          <w:rFonts w:ascii="方正小标宋_GBK" w:eastAsia="方正小标宋_GBK" w:hAnsi="宋体" w:cs="宋体" w:hint="eastAsia"/>
          <w:kern w:val="0"/>
          <w:sz w:val="44"/>
          <w:szCs w:val="44"/>
        </w:rPr>
        <w:t>区县级财政补贴的农业保险险种增品计划表</w:t>
      </w:r>
    </w:p>
    <w:p w:rsidR="00F92B10" w:rsidRPr="00015345" w:rsidRDefault="00F92B10" w:rsidP="00015345">
      <w:pPr>
        <w:widowControl/>
        <w:spacing w:line="580" w:lineRule="exact"/>
        <w:jc w:val="left"/>
        <w:rPr>
          <w:rFonts w:ascii="方正仿宋_GBK" w:eastAsia="方正仿宋_GBK" w:hAnsi="宋体" w:cs="宋体"/>
          <w:kern w:val="0"/>
          <w:sz w:val="32"/>
          <w:szCs w:val="32"/>
        </w:rPr>
      </w:pPr>
    </w:p>
    <w:tbl>
      <w:tblPr>
        <w:tblW w:w="0" w:type="auto"/>
        <w:tblCellMar>
          <w:top w:w="75" w:type="dxa"/>
          <w:left w:w="150" w:type="dxa"/>
          <w:bottom w:w="75" w:type="dxa"/>
          <w:right w:w="150" w:type="dxa"/>
        </w:tblCellMar>
        <w:tblLook w:val="04A0" w:firstRow="1" w:lastRow="0" w:firstColumn="1" w:lastColumn="0" w:noHBand="0" w:noVBand="1"/>
      </w:tblPr>
      <w:tblGrid>
        <w:gridCol w:w="827"/>
        <w:gridCol w:w="1348"/>
        <w:gridCol w:w="2065"/>
        <w:gridCol w:w="1923"/>
        <w:gridCol w:w="1828"/>
        <w:gridCol w:w="1805"/>
        <w:gridCol w:w="636"/>
        <w:gridCol w:w="1257"/>
        <w:gridCol w:w="1329"/>
      </w:tblGrid>
      <w:tr w:rsidR="00F92B10" w:rsidRPr="00F92B10" w:rsidTr="00F92B10">
        <w:trPr>
          <w:trHeight w:val="11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增品区县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增品险种</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实际种植</w:t>
            </w:r>
            <w:r w:rsidRPr="00F92B10">
              <w:rPr>
                <w:rFonts w:ascii="宋体" w:eastAsia="宋体" w:hAnsi="宋体" w:cs="宋体" w:hint="eastAsia"/>
                <w:b/>
                <w:kern w:val="0"/>
                <w:sz w:val="24"/>
                <w:szCs w:val="32"/>
              </w:rPr>
              <w:t>/养殖数量（万亩、万吨）</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拟投保收益保险的数量（万亩）</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拟定保险费（元/亩，元/吨）</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拟定保额（元/亩，元/吨）</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费率</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总保费（万元）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b/>
                <w:kern w:val="0"/>
                <w:sz w:val="24"/>
                <w:szCs w:val="32"/>
              </w:rPr>
            </w:pPr>
            <w:r w:rsidRPr="00015345">
              <w:rPr>
                <w:rFonts w:ascii="宋体" w:eastAsia="宋体" w:hAnsi="宋体" w:cs="宋体" w:hint="eastAsia"/>
                <w:b/>
                <w:kern w:val="0"/>
                <w:sz w:val="24"/>
                <w:szCs w:val="32"/>
              </w:rPr>
              <w:t>总保额（万元）</w:t>
            </w:r>
          </w:p>
        </w:tc>
      </w:tr>
      <w:tr w:rsidR="00F92B10" w:rsidRPr="00F92B10" w:rsidTr="00F92B10">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江津区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花椒</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6000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6000</w:t>
            </w:r>
          </w:p>
        </w:tc>
      </w:tr>
      <w:tr w:rsidR="00F92B10" w:rsidRPr="00F92B10" w:rsidTr="00F92B10">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长寿区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鸡蛋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期货价格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期货价格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浮动</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10200</w:t>
            </w:r>
          </w:p>
        </w:tc>
      </w:tr>
      <w:tr w:rsidR="00F92B10" w:rsidRPr="00F92B10" w:rsidTr="00F92B10">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lastRenderedPageBreak/>
              <w:t>万州区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猕猴桃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1200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600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10000</w:t>
            </w:r>
          </w:p>
        </w:tc>
      </w:tr>
      <w:tr w:rsidR="00F92B10" w:rsidRPr="00F92B10" w:rsidTr="00F92B10">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忠</w:t>
            </w:r>
            <w:r w:rsidRPr="00015345">
              <w:rPr>
                <w:rFonts w:ascii="宋体" w:eastAsia="宋体" w:hAnsi="宋体" w:cs="宋体" w:hint="eastAsia"/>
                <w:kern w:val="0"/>
                <w:sz w:val="24"/>
                <w:szCs w:val="32"/>
              </w:rPr>
              <w:t> </w:t>
            </w:r>
            <w:r w:rsidRPr="00015345">
              <w:rPr>
                <w:rFonts w:ascii="宋体" w:eastAsia="宋体" w:hAnsi="宋体" w:cs="宋体" w:hint="eastAsia"/>
                <w:kern w:val="0"/>
                <w:sz w:val="24"/>
                <w:szCs w:val="32"/>
              </w:rPr>
              <w:t> </w:t>
            </w:r>
            <w:r w:rsidRPr="00015345">
              <w:rPr>
                <w:rFonts w:ascii="宋体" w:eastAsia="宋体" w:hAnsi="宋体" w:cs="宋体" w:hint="eastAsia"/>
                <w:kern w:val="0"/>
                <w:sz w:val="24"/>
                <w:szCs w:val="32"/>
              </w:rPr>
              <w:t>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笋竹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200</w:t>
            </w:r>
          </w:p>
        </w:tc>
      </w:tr>
      <w:tr w:rsidR="00F92B10" w:rsidRPr="00F92B10" w:rsidTr="00F92B10">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石柱县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辣椒</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3150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4725</w:t>
            </w:r>
          </w:p>
        </w:tc>
      </w:tr>
      <w:tr w:rsidR="00F92B10" w:rsidRPr="00F92B10" w:rsidTr="00F92B10">
        <w:trPr>
          <w:trHeight w:val="782"/>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秀山县</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中药材（黄精）</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20000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20000</w:t>
            </w:r>
          </w:p>
        </w:tc>
      </w:tr>
      <w:tr w:rsidR="00F92B10" w:rsidRPr="00F92B10" w:rsidTr="00F92B10">
        <w:trPr>
          <w:trHeight w:val="6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r>
      <w:tr w:rsidR="00F92B10" w:rsidRPr="00F92B10" w:rsidTr="00F92B10">
        <w:trPr>
          <w:trHeight w:val="6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中药材（金银花）</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100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250</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5000</w:t>
            </w:r>
          </w:p>
        </w:tc>
      </w:tr>
      <w:tr w:rsidR="00F92B10" w:rsidRPr="00F92B10" w:rsidTr="00F92B10">
        <w:trPr>
          <w:trHeight w:val="6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left"/>
              <w:rPr>
                <w:rFonts w:ascii="宋体" w:eastAsia="宋体" w:hAnsi="宋体" w:cs="宋体"/>
                <w:kern w:val="0"/>
                <w:sz w:val="24"/>
                <w:szCs w:val="32"/>
              </w:rPr>
            </w:pPr>
          </w:p>
        </w:tc>
      </w:tr>
      <w:tr w:rsidR="00F92B10" w:rsidRPr="00F92B10" w:rsidTr="00F92B10">
        <w:trPr>
          <w:trHeight w:val="28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lastRenderedPageBreak/>
              <w:t>合</w:t>
            </w:r>
            <w:r w:rsidRPr="00015345">
              <w:rPr>
                <w:rFonts w:ascii="宋体" w:eastAsia="宋体" w:hAnsi="宋体" w:cs="宋体" w:hint="eastAsia"/>
                <w:kern w:val="0"/>
                <w:sz w:val="24"/>
                <w:szCs w:val="32"/>
              </w:rPr>
              <w:t> </w:t>
            </w:r>
            <w:r w:rsidRPr="00015345">
              <w:rPr>
                <w:rFonts w:ascii="宋体" w:eastAsia="宋体" w:hAnsi="宋体" w:cs="宋体" w:hint="eastAsia"/>
                <w:kern w:val="0"/>
                <w:sz w:val="24"/>
                <w:szCs w:val="32"/>
              </w:rPr>
              <w:t> </w:t>
            </w:r>
            <w:r w:rsidRPr="00015345">
              <w:rPr>
                <w:rFonts w:ascii="宋体" w:eastAsia="宋体" w:hAnsi="宋体" w:cs="宋体" w:hint="eastAsia"/>
                <w:kern w:val="0"/>
                <w:sz w:val="24"/>
                <w:szCs w:val="32"/>
              </w:rPr>
              <w:t>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2784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5345" w:rsidRPr="00015345" w:rsidRDefault="00015345" w:rsidP="00015345">
            <w:pPr>
              <w:widowControl/>
              <w:spacing w:line="580" w:lineRule="exact"/>
              <w:jc w:val="center"/>
              <w:rPr>
                <w:rFonts w:ascii="宋体" w:eastAsia="宋体" w:hAnsi="宋体" w:cs="宋体"/>
                <w:kern w:val="0"/>
                <w:sz w:val="24"/>
                <w:szCs w:val="32"/>
              </w:rPr>
            </w:pPr>
            <w:r w:rsidRPr="00015345">
              <w:rPr>
                <w:rFonts w:ascii="宋体" w:eastAsia="宋体" w:hAnsi="宋体" w:cs="宋体" w:hint="eastAsia"/>
                <w:kern w:val="0"/>
                <w:sz w:val="24"/>
                <w:szCs w:val="32"/>
              </w:rPr>
              <w:t>56125</w:t>
            </w:r>
          </w:p>
        </w:tc>
      </w:tr>
    </w:tbl>
    <w:p w:rsidR="004438C7" w:rsidRPr="004438C7" w:rsidRDefault="004438C7" w:rsidP="00015345">
      <w:pPr>
        <w:spacing w:line="580" w:lineRule="exact"/>
        <w:rPr>
          <w:rFonts w:ascii="方正仿宋_GBK" w:eastAsia="方正仿宋_GBK"/>
          <w:sz w:val="32"/>
          <w:szCs w:val="32"/>
        </w:rPr>
      </w:pPr>
    </w:p>
    <w:sectPr w:rsidR="004438C7" w:rsidRPr="004438C7" w:rsidSect="00F92B10">
      <w:pgSz w:w="16838" w:h="11906" w:orient="landscape"/>
      <w:pgMar w:top="1587" w:right="1962" w:bottom="1474" w:left="1848" w:header="510" w:footer="680"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35" w:rsidRDefault="00687435">
      <w:r>
        <w:separator/>
      </w:r>
    </w:p>
  </w:endnote>
  <w:endnote w:type="continuationSeparator" w:id="0">
    <w:p w:rsidR="00687435" w:rsidRDefault="0068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71D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71D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A754C" w:rsidRDefault="00FA754C">
    <w:pPr>
      <w:pStyle w:val="a5"/>
      <w:ind w:leftChars="2280" w:left="4788" w:firstLineChars="2000" w:firstLine="6400"/>
      <w:rPr>
        <w:sz w:val="32"/>
      </w:rPr>
    </w:pPr>
  </w:p>
  <w:p w:rsidR="00FA754C" w:rsidRDefault="007559BC">
    <w:pPr>
      <w:pStyle w:val="a5"/>
      <w:wordWrap w:val="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-168275</wp:posOffset>
              </wp:positionV>
              <wp:extent cx="8280000" cy="0"/>
              <wp:effectExtent l="0" t="0" r="26035" b="19050"/>
              <wp:wrapNone/>
              <wp:docPr id="11" name="直接连接符 11"/>
              <wp:cNvGraphicFramePr/>
              <a:graphic xmlns:a="http://schemas.openxmlformats.org/drawingml/2006/main">
                <a:graphicData uri="http://schemas.microsoft.com/office/word/2010/wordprocessingShape">
                  <wps:wsp>
                    <wps:cNvCnPr/>
                    <wps:spPr>
                      <a:xfrm>
                        <a:off x="0" y="0"/>
                        <a:ext cx="8280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F64B3" id="直接连接符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3.25pt" to="651.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" strokecolor="#005192" strokeweight="1.75pt">
              <v:stroke joinstyle="miter"/>
            </v:line>
          </w:pict>
        </mc:Fallback>
      </mc:AlternateContent>
    </w:r>
    <w:r w:rsidR="00332C01">
      <w:rPr>
        <w:rFonts w:ascii="宋体" w:eastAsia="宋体" w:hAnsi="宋体" w:cs="宋体" w:hint="eastAsia"/>
        <w:b/>
        <w:bCs/>
        <w:color w:val="005192"/>
        <w:sz w:val="28"/>
        <w:szCs w:val="44"/>
      </w:rPr>
      <w:t>重庆市人民政府办公厅发布</w:t>
    </w:r>
    <w:r w:rsidR="00332C01">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35" w:rsidRDefault="00687435">
      <w:r>
        <w:separator/>
      </w:r>
    </w:p>
  </w:footnote>
  <w:footnote w:type="continuationSeparator" w:id="0">
    <w:p w:rsidR="00687435" w:rsidRDefault="00687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461645</wp:posOffset>
              </wp:positionV>
              <wp:extent cx="8280000" cy="0"/>
              <wp:effectExtent l="0" t="0" r="26035" b="19050"/>
              <wp:wrapNone/>
              <wp:docPr id="2" name="直接连接符 2"/>
              <wp:cNvGraphicFramePr/>
              <a:graphic xmlns:a="http://schemas.openxmlformats.org/drawingml/2006/main">
                <a:graphicData uri="http://schemas.microsoft.com/office/word/2010/wordprocessingShape">
                  <wps:wsp>
                    <wps:cNvCnPr/>
                    <wps:spPr>
                      <a:xfrm>
                        <a:off x="0" y="0"/>
                        <a:ext cx="8280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60DAD" id="直接连接符 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35pt" to="651.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" strokecolor="#005192" strokeweight="1.75pt">
              <v:stroke joinstyle="miter"/>
              <w10:wrap anchorx="margin"/>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15345"/>
    <w:rsid w:val="00041F77"/>
    <w:rsid w:val="000659AC"/>
    <w:rsid w:val="000A2CB3"/>
    <w:rsid w:val="000C773C"/>
    <w:rsid w:val="00163775"/>
    <w:rsid w:val="00172A27"/>
    <w:rsid w:val="00172D4F"/>
    <w:rsid w:val="001934DF"/>
    <w:rsid w:val="001973EB"/>
    <w:rsid w:val="001975B8"/>
    <w:rsid w:val="001A7C75"/>
    <w:rsid w:val="001B0942"/>
    <w:rsid w:val="001D13F9"/>
    <w:rsid w:val="00233914"/>
    <w:rsid w:val="0026021E"/>
    <w:rsid w:val="002734BC"/>
    <w:rsid w:val="002C3049"/>
    <w:rsid w:val="003129A4"/>
    <w:rsid w:val="003231FE"/>
    <w:rsid w:val="00332C01"/>
    <w:rsid w:val="00356381"/>
    <w:rsid w:val="00365ADE"/>
    <w:rsid w:val="0038566C"/>
    <w:rsid w:val="003D7AA3"/>
    <w:rsid w:val="003F71D0"/>
    <w:rsid w:val="00411723"/>
    <w:rsid w:val="004159F6"/>
    <w:rsid w:val="004438C7"/>
    <w:rsid w:val="0046662A"/>
    <w:rsid w:val="004C1CA7"/>
    <w:rsid w:val="004C7FBC"/>
    <w:rsid w:val="0050324F"/>
    <w:rsid w:val="00536158"/>
    <w:rsid w:val="00595EF0"/>
    <w:rsid w:val="005D05D5"/>
    <w:rsid w:val="005D5D0A"/>
    <w:rsid w:val="005D620C"/>
    <w:rsid w:val="005E42A2"/>
    <w:rsid w:val="006535B8"/>
    <w:rsid w:val="00657EAB"/>
    <w:rsid w:val="00687435"/>
    <w:rsid w:val="006A5492"/>
    <w:rsid w:val="006D6FB5"/>
    <w:rsid w:val="006F1A4A"/>
    <w:rsid w:val="007058C6"/>
    <w:rsid w:val="00731772"/>
    <w:rsid w:val="007559BC"/>
    <w:rsid w:val="00797218"/>
    <w:rsid w:val="00797BE8"/>
    <w:rsid w:val="007C2BB6"/>
    <w:rsid w:val="007D65F0"/>
    <w:rsid w:val="00804F1B"/>
    <w:rsid w:val="008425CE"/>
    <w:rsid w:val="008674FD"/>
    <w:rsid w:val="00877BD3"/>
    <w:rsid w:val="008B57A8"/>
    <w:rsid w:val="008C124C"/>
    <w:rsid w:val="008C349F"/>
    <w:rsid w:val="008D34E6"/>
    <w:rsid w:val="008E4EE9"/>
    <w:rsid w:val="009A7722"/>
    <w:rsid w:val="009B78BF"/>
    <w:rsid w:val="009C346C"/>
    <w:rsid w:val="009E7D10"/>
    <w:rsid w:val="009F7047"/>
    <w:rsid w:val="00A41B05"/>
    <w:rsid w:val="00AB5572"/>
    <w:rsid w:val="00AC0A9D"/>
    <w:rsid w:val="00B228AE"/>
    <w:rsid w:val="00B40539"/>
    <w:rsid w:val="00B74F8A"/>
    <w:rsid w:val="00B863F1"/>
    <w:rsid w:val="00BA1F6F"/>
    <w:rsid w:val="00BA345D"/>
    <w:rsid w:val="00BD7E7B"/>
    <w:rsid w:val="00BE395D"/>
    <w:rsid w:val="00C04CCF"/>
    <w:rsid w:val="00C108A8"/>
    <w:rsid w:val="00C3362A"/>
    <w:rsid w:val="00C76A90"/>
    <w:rsid w:val="00C91D27"/>
    <w:rsid w:val="00D40206"/>
    <w:rsid w:val="00D416D9"/>
    <w:rsid w:val="00D467D9"/>
    <w:rsid w:val="00D74CB1"/>
    <w:rsid w:val="00DA3F3F"/>
    <w:rsid w:val="00DB4869"/>
    <w:rsid w:val="00DB60DE"/>
    <w:rsid w:val="00E36F25"/>
    <w:rsid w:val="00E46756"/>
    <w:rsid w:val="00E53763"/>
    <w:rsid w:val="00E81008"/>
    <w:rsid w:val="00F57668"/>
    <w:rsid w:val="00F92B10"/>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87EB3"/>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 w:type="character" w:customStyle="1" w:styleId="font1">
    <w:name w:val="font1"/>
    <w:basedOn w:val="a0"/>
    <w:rsid w:val="00015345"/>
  </w:style>
  <w:style w:type="character" w:customStyle="1" w:styleId="font3">
    <w:name w:val="font3"/>
    <w:basedOn w:val="a0"/>
    <w:rsid w:val="00015345"/>
  </w:style>
  <w:style w:type="character" w:customStyle="1" w:styleId="font2">
    <w:name w:val="font2"/>
    <w:basedOn w:val="a0"/>
    <w:rsid w:val="0001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475">
      <w:bodyDiv w:val="1"/>
      <w:marLeft w:val="0"/>
      <w:marRight w:val="0"/>
      <w:marTop w:val="0"/>
      <w:marBottom w:val="0"/>
      <w:divBdr>
        <w:top w:val="none" w:sz="0" w:space="0" w:color="auto"/>
        <w:left w:val="none" w:sz="0" w:space="0" w:color="auto"/>
        <w:bottom w:val="none" w:sz="0" w:space="0" w:color="auto"/>
        <w:right w:val="none" w:sz="0" w:space="0" w:color="auto"/>
      </w:divBdr>
    </w:div>
    <w:div w:id="211885220">
      <w:bodyDiv w:val="1"/>
      <w:marLeft w:val="0"/>
      <w:marRight w:val="0"/>
      <w:marTop w:val="0"/>
      <w:marBottom w:val="0"/>
      <w:divBdr>
        <w:top w:val="none" w:sz="0" w:space="0" w:color="auto"/>
        <w:left w:val="none" w:sz="0" w:space="0" w:color="auto"/>
        <w:bottom w:val="none" w:sz="0" w:space="0" w:color="auto"/>
        <w:right w:val="none" w:sz="0" w:space="0" w:color="auto"/>
      </w:divBdr>
    </w:div>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556356766">
      <w:bodyDiv w:val="1"/>
      <w:marLeft w:val="0"/>
      <w:marRight w:val="0"/>
      <w:marTop w:val="0"/>
      <w:marBottom w:val="0"/>
      <w:divBdr>
        <w:top w:val="none" w:sz="0" w:space="0" w:color="auto"/>
        <w:left w:val="none" w:sz="0" w:space="0" w:color="auto"/>
        <w:bottom w:val="none" w:sz="0" w:space="0" w:color="auto"/>
        <w:right w:val="none" w:sz="0" w:space="0" w:color="auto"/>
      </w:divBdr>
    </w:div>
    <w:div w:id="799347044">
      <w:bodyDiv w:val="1"/>
      <w:marLeft w:val="0"/>
      <w:marRight w:val="0"/>
      <w:marTop w:val="0"/>
      <w:marBottom w:val="0"/>
      <w:divBdr>
        <w:top w:val="none" w:sz="0" w:space="0" w:color="auto"/>
        <w:left w:val="none" w:sz="0" w:space="0" w:color="auto"/>
        <w:bottom w:val="none" w:sz="0" w:space="0" w:color="auto"/>
        <w:right w:val="none" w:sz="0" w:space="0" w:color="auto"/>
      </w:divBdr>
    </w:div>
    <w:div w:id="855384812">
      <w:bodyDiv w:val="1"/>
      <w:marLeft w:val="0"/>
      <w:marRight w:val="0"/>
      <w:marTop w:val="0"/>
      <w:marBottom w:val="0"/>
      <w:divBdr>
        <w:top w:val="none" w:sz="0" w:space="0" w:color="auto"/>
        <w:left w:val="none" w:sz="0" w:space="0" w:color="auto"/>
        <w:bottom w:val="none" w:sz="0" w:space="0" w:color="auto"/>
        <w:right w:val="none" w:sz="0" w:space="0" w:color="auto"/>
      </w:divBdr>
    </w:div>
    <w:div w:id="1121849560">
      <w:bodyDiv w:val="1"/>
      <w:marLeft w:val="0"/>
      <w:marRight w:val="0"/>
      <w:marTop w:val="0"/>
      <w:marBottom w:val="0"/>
      <w:divBdr>
        <w:top w:val="none" w:sz="0" w:space="0" w:color="auto"/>
        <w:left w:val="none" w:sz="0" w:space="0" w:color="auto"/>
        <w:bottom w:val="none" w:sz="0" w:space="0" w:color="auto"/>
        <w:right w:val="none" w:sz="0" w:space="0" w:color="auto"/>
      </w:divBdr>
    </w:div>
    <w:div w:id="1165364042">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 w:id="1344672604">
      <w:bodyDiv w:val="1"/>
      <w:marLeft w:val="0"/>
      <w:marRight w:val="0"/>
      <w:marTop w:val="0"/>
      <w:marBottom w:val="0"/>
      <w:divBdr>
        <w:top w:val="none" w:sz="0" w:space="0" w:color="auto"/>
        <w:left w:val="none" w:sz="0" w:space="0" w:color="auto"/>
        <w:bottom w:val="none" w:sz="0" w:space="0" w:color="auto"/>
        <w:right w:val="none" w:sz="0" w:space="0" w:color="auto"/>
      </w:divBdr>
    </w:div>
    <w:div w:id="1857377730">
      <w:bodyDiv w:val="1"/>
      <w:marLeft w:val="0"/>
      <w:marRight w:val="0"/>
      <w:marTop w:val="0"/>
      <w:marBottom w:val="0"/>
      <w:divBdr>
        <w:top w:val="none" w:sz="0" w:space="0" w:color="auto"/>
        <w:left w:val="none" w:sz="0" w:space="0" w:color="auto"/>
        <w:bottom w:val="none" w:sz="0" w:space="0" w:color="auto"/>
        <w:right w:val="none" w:sz="0" w:space="0" w:color="auto"/>
      </w:divBdr>
    </w:div>
    <w:div w:id="1917591615">
      <w:bodyDiv w:val="1"/>
      <w:marLeft w:val="0"/>
      <w:marRight w:val="0"/>
      <w:marTop w:val="0"/>
      <w:marBottom w:val="0"/>
      <w:divBdr>
        <w:top w:val="none" w:sz="0" w:space="0" w:color="auto"/>
        <w:left w:val="none" w:sz="0" w:space="0" w:color="auto"/>
        <w:bottom w:val="none" w:sz="0" w:space="0" w:color="auto"/>
        <w:right w:val="none" w:sz="0" w:space="0" w:color="auto"/>
      </w:divBdr>
    </w:div>
    <w:div w:id="192742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DB9A-0AC6-44A1-8546-9722625E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11</cp:revision>
  <cp:lastPrinted>2022-07-28T03:21:00Z</cp:lastPrinted>
  <dcterms:created xsi:type="dcterms:W3CDTF">2022-07-28T03:21:00Z</dcterms:created>
  <dcterms:modified xsi:type="dcterms:W3CDTF">2022-07-28T03:43:00Z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