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763" w:rsidRPr="000E6DCE" w:rsidRDefault="00100763" w:rsidP="00100763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ascii="Century Gothic" w:eastAsia="Arial Unicode MS" w:hAnsi="Century Gothic" w:cs="Century Gothic"/>
          <w:kern w:val="0"/>
          <w:sz w:val="32"/>
          <w:szCs w:val="32"/>
        </w:rPr>
      </w:pPr>
      <w:r w:rsidRPr="000E6DCE">
        <w:rPr>
          <w:rFonts w:ascii="Arial Unicode MS" w:eastAsia="Arial Unicode MS" w:hAnsi="Times New Roman" w:cs="Arial Unicode MS" w:hint="eastAsia"/>
          <w:kern w:val="0"/>
          <w:sz w:val="32"/>
          <w:szCs w:val="32"/>
        </w:rPr>
        <w:t>附件</w:t>
      </w:r>
      <w:r w:rsidRPr="000E6DCE">
        <w:rPr>
          <w:rFonts w:ascii="Century Gothic" w:eastAsia="Arial Unicode MS" w:hAnsi="Century Gothic" w:cs="Century Gothic"/>
          <w:kern w:val="0"/>
          <w:sz w:val="32"/>
          <w:szCs w:val="32"/>
        </w:rPr>
        <w:t>3</w:t>
      </w:r>
    </w:p>
    <w:p w:rsidR="00100763" w:rsidRPr="000E6DCE" w:rsidRDefault="00100763" w:rsidP="00100763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ascii="Century Gothic" w:hAnsi="Century Gothic" w:cs="Century Gothic"/>
          <w:kern w:val="0"/>
          <w:sz w:val="32"/>
          <w:szCs w:val="32"/>
        </w:rPr>
      </w:pPr>
    </w:p>
    <w:p w:rsidR="00100763" w:rsidRPr="000E6DCE" w:rsidRDefault="00100763" w:rsidP="00100763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ascii="Century Gothic" w:hAnsi="Century Gothic" w:cs="Century Gothic"/>
          <w:kern w:val="0"/>
          <w:sz w:val="25"/>
          <w:szCs w:val="25"/>
        </w:rPr>
      </w:pPr>
    </w:p>
    <w:p w:rsidR="00100763" w:rsidRPr="000E6DCE" w:rsidRDefault="00100763" w:rsidP="00100763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jc w:val="center"/>
        <w:rPr>
          <w:rFonts w:ascii="方正小标宋_GBK" w:eastAsia="方正小标宋_GBK" w:hAnsi="Times New Roman" w:cs="方正小标宋_GBK"/>
          <w:kern w:val="0"/>
          <w:sz w:val="44"/>
          <w:szCs w:val="44"/>
        </w:rPr>
      </w:pPr>
      <w:r w:rsidRPr="000E6DCE">
        <w:rPr>
          <w:rFonts w:ascii="方正小标宋_GBK" w:eastAsia="方正小标宋_GBK" w:hAnsi="Times New Roman" w:cs="方正小标宋_GBK" w:hint="eastAsia"/>
          <w:kern w:val="0"/>
          <w:sz w:val="44"/>
          <w:szCs w:val="44"/>
        </w:rPr>
        <w:t>重庆法院推出律师服务平台</w:t>
      </w:r>
      <w:r w:rsidRPr="000E6DCE">
        <w:rPr>
          <w:rFonts w:ascii="方正小标宋_GBK" w:eastAsia="方正小标宋_GBK" w:hAnsi="Times New Roman" w:cs="方正小标宋_GBK"/>
          <w:kern w:val="0"/>
          <w:sz w:val="44"/>
          <w:szCs w:val="44"/>
        </w:rPr>
        <w:t>2.0</w:t>
      </w:r>
      <w:r w:rsidRPr="000E6DCE">
        <w:rPr>
          <w:rFonts w:ascii="方正小标宋_GBK" w:eastAsia="方正小标宋_GBK" w:hAnsi="Times New Roman" w:cs="方正小标宋_GBK" w:hint="eastAsia"/>
          <w:kern w:val="0"/>
          <w:sz w:val="44"/>
          <w:szCs w:val="44"/>
        </w:rPr>
        <w:t>版着力提升诉讼服务智能化和律师体验感</w:t>
      </w:r>
    </w:p>
    <w:p w:rsidR="00100763" w:rsidRPr="000E6DCE" w:rsidRDefault="00100763" w:rsidP="00100763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ascii="方正小标宋_GBK" w:eastAsia="方正小标宋_GBK" w:hAnsi="Times New Roman" w:cs="方正小标宋_GBK"/>
          <w:kern w:val="0"/>
          <w:sz w:val="43"/>
          <w:szCs w:val="43"/>
        </w:rPr>
      </w:pPr>
    </w:p>
    <w:p w:rsidR="00100763" w:rsidRPr="000E6DCE" w:rsidRDefault="00100763" w:rsidP="00100763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Chars="200" w:firstLine="640"/>
        <w:rPr>
          <w:rFonts w:ascii="方正仿宋_GBK" w:eastAsia="方正仿宋_GBK" w:hAnsi="Times New Roman" w:cs="方正仿宋_GBK"/>
          <w:kern w:val="0"/>
          <w:sz w:val="32"/>
          <w:szCs w:val="32"/>
        </w:rPr>
      </w:pPr>
      <w:r w:rsidRPr="000E6DCE">
        <w:rPr>
          <w:rFonts w:ascii="方正仿宋_GBK" w:eastAsia="方正仿宋_GBK" w:hAnsi="Times New Roman" w:cs="方正仿宋_GBK" w:hint="eastAsia"/>
          <w:kern w:val="0"/>
          <w:sz w:val="32"/>
          <w:szCs w:val="32"/>
        </w:rPr>
        <w:t>让人民群众成为智慧法院建设的最大受益者，是重庆法院推进智慧法院建设的初心和使命。目前，重庆法院基本建</w:t>
      </w:r>
      <w:r w:rsidRPr="000E6DCE">
        <w:rPr>
          <w:rFonts w:ascii="方正仿宋_GBK" w:eastAsia="方正仿宋_GBK" w:hAnsi="Times New Roman" w:cs="方正仿宋_GBK" w:hint="eastAsia"/>
          <w:spacing w:val="-6"/>
          <w:w w:val="95"/>
          <w:kern w:val="0"/>
          <w:sz w:val="32"/>
          <w:szCs w:val="32"/>
        </w:rPr>
        <w:t>成以“四易”平台和</w:t>
      </w:r>
      <w:proofErr w:type="gramStart"/>
      <w:r w:rsidRPr="000E6DCE">
        <w:rPr>
          <w:rFonts w:ascii="方正仿宋_GBK" w:eastAsia="方正仿宋_GBK" w:hAnsi="Times New Roman" w:cs="方正仿宋_GBK" w:hint="eastAsia"/>
          <w:spacing w:val="-6"/>
          <w:w w:val="95"/>
          <w:kern w:val="0"/>
          <w:sz w:val="32"/>
          <w:szCs w:val="32"/>
        </w:rPr>
        <w:t>法智云中心</w:t>
      </w:r>
      <w:proofErr w:type="gramEnd"/>
      <w:r w:rsidRPr="000E6DCE">
        <w:rPr>
          <w:rFonts w:ascii="方正仿宋_GBK" w:eastAsia="方正仿宋_GBK" w:hAnsi="Times New Roman" w:cs="方正仿宋_GBK" w:hint="eastAsia"/>
          <w:spacing w:val="-6"/>
          <w:w w:val="95"/>
          <w:kern w:val="0"/>
          <w:sz w:val="32"/>
          <w:szCs w:val="32"/>
        </w:rPr>
        <w:t>为核心构架的智慧法院体系。</w:t>
      </w:r>
      <w:r w:rsidRPr="000E6DCE">
        <w:rPr>
          <w:rFonts w:ascii="方正仿宋_GBK" w:eastAsia="方正仿宋_GBK" w:hAnsi="Times New Roman" w:cs="方正仿宋_GBK" w:hint="eastAsia"/>
          <w:kern w:val="0"/>
          <w:sz w:val="32"/>
          <w:szCs w:val="32"/>
        </w:rPr>
        <w:t>为</w:t>
      </w:r>
      <w:proofErr w:type="gramStart"/>
      <w:r w:rsidRPr="000E6DCE">
        <w:rPr>
          <w:rFonts w:ascii="方正仿宋_GBK" w:eastAsia="方正仿宋_GBK" w:hAnsi="Times New Roman" w:cs="方正仿宋_GBK" w:hint="eastAsia"/>
          <w:kern w:val="0"/>
          <w:sz w:val="32"/>
          <w:szCs w:val="32"/>
        </w:rPr>
        <w:t>更好保障</w:t>
      </w:r>
      <w:proofErr w:type="gramEnd"/>
      <w:r w:rsidRPr="000E6DCE">
        <w:rPr>
          <w:rFonts w:ascii="方正仿宋_GBK" w:eastAsia="方正仿宋_GBK" w:hAnsi="Times New Roman" w:cs="方正仿宋_GBK" w:hint="eastAsia"/>
          <w:kern w:val="0"/>
          <w:sz w:val="32"/>
          <w:szCs w:val="32"/>
        </w:rPr>
        <w:t>律师执业权利，重庆法院在充分听取律师意见的基础上整合智慧法院建设成果，推出“重庆法院律师服务平</w:t>
      </w:r>
      <w:r w:rsidRPr="000E6DCE">
        <w:rPr>
          <w:rFonts w:ascii="方正仿宋_GBK" w:eastAsia="方正仿宋_GBK" w:hAnsi="Times New Roman" w:cs="方正仿宋_GBK" w:hint="eastAsia"/>
          <w:spacing w:val="-6"/>
          <w:kern w:val="0"/>
          <w:sz w:val="32"/>
          <w:szCs w:val="32"/>
        </w:rPr>
        <w:t>台”</w:t>
      </w:r>
      <w:r w:rsidRPr="000E6DCE">
        <w:rPr>
          <w:rFonts w:ascii="Times New Roman" w:eastAsia="方正仿宋_GBK" w:hAnsi="Times New Roman" w:cs="Times New Roman"/>
          <w:spacing w:val="-6"/>
          <w:kern w:val="0"/>
          <w:sz w:val="32"/>
          <w:szCs w:val="32"/>
        </w:rPr>
        <w:t>2.0</w:t>
      </w:r>
      <w:r w:rsidRPr="000E6DCE">
        <w:rPr>
          <w:rFonts w:ascii="方正仿宋_GBK" w:eastAsia="方正仿宋_GBK" w:hAnsi="Times New Roman" w:cs="方正仿宋_GBK" w:hint="eastAsia"/>
          <w:spacing w:val="-11"/>
          <w:kern w:val="0"/>
          <w:sz w:val="32"/>
          <w:szCs w:val="32"/>
        </w:rPr>
        <w:t>版（</w:t>
      </w:r>
      <w:hyperlink r:id="rId4" w:history="1">
        <w:r w:rsidRPr="000E6DCE">
          <w:rPr>
            <w:rFonts w:ascii="Times New Roman" w:eastAsia="方正仿宋_GBK" w:hAnsi="Times New Roman" w:cs="Times New Roman"/>
            <w:spacing w:val="-11"/>
            <w:kern w:val="0"/>
            <w:sz w:val="32"/>
            <w:szCs w:val="32"/>
          </w:rPr>
          <w:t>www.cqfygzfw.com/lspt</w:t>
        </w:r>
      </w:hyperlink>
      <w:r w:rsidRPr="000E6DCE">
        <w:rPr>
          <w:rFonts w:ascii="方正仿宋_GBK" w:eastAsia="方正仿宋_GBK" w:hAnsi="Times New Roman" w:cs="方正仿宋_GBK" w:hint="eastAsia"/>
          <w:spacing w:val="-11"/>
          <w:kern w:val="0"/>
          <w:sz w:val="32"/>
          <w:szCs w:val="32"/>
        </w:rPr>
        <w:t>），于</w:t>
      </w:r>
      <w:r w:rsidRPr="000E6DCE">
        <w:rPr>
          <w:rFonts w:ascii="Times New Roman" w:eastAsia="方正仿宋_GBK" w:hAnsi="Times New Roman" w:cs="Times New Roman"/>
          <w:kern w:val="0"/>
          <w:sz w:val="32"/>
          <w:szCs w:val="32"/>
        </w:rPr>
        <w:t>2020</w:t>
      </w:r>
      <w:r w:rsidRPr="000E6DCE">
        <w:rPr>
          <w:rFonts w:ascii="方正仿宋_GBK" w:eastAsia="方正仿宋_GBK" w:hAnsi="Times New Roman" w:cs="方正仿宋_GBK" w:hint="eastAsia"/>
          <w:kern w:val="0"/>
          <w:sz w:val="32"/>
          <w:szCs w:val="32"/>
        </w:rPr>
        <w:t>年</w:t>
      </w:r>
      <w:r w:rsidRPr="000E6DCE">
        <w:rPr>
          <w:rFonts w:ascii="Times New Roman" w:eastAsia="方正仿宋_GBK" w:hAnsi="Times New Roman" w:cs="Times New Roman"/>
          <w:kern w:val="0"/>
          <w:sz w:val="32"/>
          <w:szCs w:val="32"/>
        </w:rPr>
        <w:t>1</w:t>
      </w:r>
      <w:r w:rsidRPr="000E6DCE">
        <w:rPr>
          <w:rFonts w:ascii="方正仿宋_GBK" w:eastAsia="方正仿宋_GBK" w:hAnsi="Times New Roman" w:cs="方正仿宋_GBK" w:hint="eastAsia"/>
          <w:kern w:val="0"/>
          <w:sz w:val="32"/>
          <w:szCs w:val="32"/>
        </w:rPr>
        <w:t>月</w:t>
      </w:r>
      <w:r w:rsidRPr="000E6DCE">
        <w:rPr>
          <w:rFonts w:ascii="Times New Roman" w:eastAsia="方正仿宋_GBK" w:hAnsi="Times New Roman" w:cs="Times New Roman"/>
          <w:kern w:val="0"/>
          <w:sz w:val="32"/>
          <w:szCs w:val="32"/>
        </w:rPr>
        <w:t>2</w:t>
      </w:r>
      <w:r w:rsidRPr="000E6DCE">
        <w:rPr>
          <w:rFonts w:ascii="方正仿宋_GBK" w:eastAsia="方正仿宋_GBK" w:hAnsi="Times New Roman" w:cs="方正仿宋_GBK" w:hint="eastAsia"/>
          <w:kern w:val="0"/>
          <w:sz w:val="32"/>
          <w:szCs w:val="32"/>
        </w:rPr>
        <w:t>日上线试运行，升级后的平台为律师提供</w:t>
      </w:r>
      <w:r w:rsidRPr="000E6DCE">
        <w:rPr>
          <w:rFonts w:ascii="Times New Roman" w:eastAsia="方正仿宋_GBK" w:hAnsi="Times New Roman" w:cs="Times New Roman"/>
          <w:kern w:val="0"/>
          <w:sz w:val="32"/>
          <w:szCs w:val="32"/>
        </w:rPr>
        <w:t>3</w:t>
      </w:r>
      <w:r w:rsidRPr="000E6DCE">
        <w:rPr>
          <w:rFonts w:ascii="方正仿宋_GBK" w:eastAsia="方正仿宋_GBK" w:hAnsi="Times New Roman" w:cs="方正仿宋_GBK" w:hint="eastAsia"/>
          <w:kern w:val="0"/>
          <w:sz w:val="32"/>
          <w:szCs w:val="32"/>
        </w:rPr>
        <w:t>类</w:t>
      </w:r>
      <w:r w:rsidRPr="000E6DCE">
        <w:rPr>
          <w:rFonts w:ascii="Times New Roman" w:eastAsia="方正仿宋_GBK" w:hAnsi="Times New Roman" w:cs="Times New Roman"/>
          <w:kern w:val="0"/>
          <w:sz w:val="32"/>
          <w:szCs w:val="32"/>
        </w:rPr>
        <w:t>12</w:t>
      </w:r>
      <w:r w:rsidRPr="000E6DCE">
        <w:rPr>
          <w:rFonts w:ascii="方正仿宋_GBK" w:eastAsia="方正仿宋_GBK" w:hAnsi="Times New Roman" w:cs="方正仿宋_GBK" w:hint="eastAsia"/>
          <w:kern w:val="0"/>
          <w:sz w:val="32"/>
          <w:szCs w:val="32"/>
        </w:rPr>
        <w:t>种在线诉讼服</w:t>
      </w:r>
      <w:r w:rsidRPr="000E6DCE">
        <w:rPr>
          <w:rFonts w:ascii="方正仿宋_GBK" w:eastAsia="方正仿宋_GBK" w:hAnsi="Times New Roman" w:cs="方正仿宋_GBK" w:hint="eastAsia"/>
          <w:spacing w:val="-12"/>
          <w:w w:val="95"/>
          <w:kern w:val="0"/>
          <w:sz w:val="32"/>
          <w:szCs w:val="32"/>
        </w:rPr>
        <w:t>务，着力解决“问累”“诉累”和“跑累”，切实提升诉讼服</w:t>
      </w:r>
      <w:r w:rsidRPr="000E6DCE">
        <w:rPr>
          <w:rFonts w:ascii="方正仿宋_GBK" w:eastAsia="方正仿宋_GBK" w:hAnsi="Times New Roman" w:cs="方正仿宋_GBK" w:hint="eastAsia"/>
          <w:kern w:val="0"/>
          <w:sz w:val="32"/>
          <w:szCs w:val="32"/>
        </w:rPr>
        <w:t>务智能化和律师体验感。</w:t>
      </w:r>
    </w:p>
    <w:p w:rsidR="00100763" w:rsidRPr="000E6DCE" w:rsidRDefault="00100763" w:rsidP="00100763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Chars="196" w:firstLine="593"/>
        <w:rPr>
          <w:rFonts w:ascii="方正仿宋_GBK" w:eastAsia="方正仿宋_GBK" w:hAnsi="Times New Roman" w:cs="方正仿宋_GBK"/>
          <w:kern w:val="0"/>
          <w:sz w:val="32"/>
          <w:szCs w:val="32"/>
        </w:rPr>
      </w:pPr>
      <w:r w:rsidRPr="000E6DCE">
        <w:rPr>
          <w:rFonts w:ascii="方正楷体_GBK" w:eastAsia="方正楷体_GBK" w:hAnsi="Times New Roman" w:cs="方正楷体_GBK" w:hint="eastAsia"/>
          <w:w w:val="95"/>
          <w:kern w:val="0"/>
          <w:sz w:val="32"/>
          <w:szCs w:val="32"/>
        </w:rPr>
        <w:t>一是全流程在线诉讼功能让律师参与更“容易”。</w:t>
      </w:r>
      <w:r w:rsidRPr="000E6DCE">
        <w:rPr>
          <w:rFonts w:ascii="方正仿宋_GBK" w:eastAsia="方正仿宋_GBK" w:hAnsi="Times New Roman" w:cs="方正仿宋_GBK" w:hint="eastAsia"/>
          <w:w w:val="95"/>
          <w:kern w:val="0"/>
          <w:sz w:val="32"/>
          <w:szCs w:val="32"/>
        </w:rPr>
        <w:t>通过网上立案、网上缴费、材料提交、证据交换、庭审避让等在线诉讼服务功能，律师能够在线上全流程无纸化立案、进行部分诉讼行为。网上立案的案件全程不再提交纸质诉状，网上提交的其他诉讼材料一般也不再提交纸质件。在线提交的证据材料还可以在线上</w:t>
      </w:r>
      <w:r w:rsidRPr="000E6DCE">
        <w:rPr>
          <w:rFonts w:ascii="方正仿宋_GBK" w:eastAsia="方正仿宋_GBK" w:hAnsi="Times New Roman" w:cs="方正仿宋_GBK" w:hint="eastAsia"/>
          <w:w w:val="95"/>
          <w:kern w:val="0"/>
          <w:sz w:val="32"/>
          <w:szCs w:val="32"/>
        </w:rPr>
        <w:lastRenderedPageBreak/>
        <w:t>进行证据交换，有利于双方当事人及时了解案情，总结归纳事实和法律争点。推行多种电子支付方式，推动诉讼费缴纳真正实现电子化。同时，庭审避让功</w:t>
      </w:r>
      <w:r w:rsidRPr="000E6DCE">
        <w:rPr>
          <w:rFonts w:ascii="方正仿宋_GBK" w:eastAsia="方正仿宋_GBK" w:hAnsi="Times New Roman" w:cs="方正仿宋_GBK" w:hint="eastAsia"/>
          <w:spacing w:val="12"/>
          <w:kern w:val="0"/>
          <w:sz w:val="32"/>
          <w:szCs w:val="32"/>
        </w:rPr>
        <w:t>能更加智能化，律师有正当理由的可提前在线申请庭审避</w:t>
      </w:r>
      <w:r w:rsidRPr="000E6DCE">
        <w:rPr>
          <w:rFonts w:ascii="方正仿宋_GBK" w:eastAsia="方正仿宋_GBK" w:hAnsi="Times New Roman" w:cs="方正仿宋_GBK" w:hint="eastAsia"/>
          <w:kern w:val="0"/>
          <w:sz w:val="32"/>
          <w:szCs w:val="32"/>
        </w:rPr>
        <w:t>让，有效解决案、事时间冲突。</w:t>
      </w:r>
    </w:p>
    <w:p w:rsidR="00100763" w:rsidRPr="000E6DCE" w:rsidRDefault="00100763" w:rsidP="00100763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Chars="200" w:firstLine="640"/>
        <w:rPr>
          <w:rFonts w:ascii="方正仿宋_GBK" w:eastAsia="方正仿宋_GBK" w:hAnsi="Times New Roman" w:cs="方正仿宋_GBK"/>
          <w:kern w:val="0"/>
          <w:sz w:val="32"/>
          <w:szCs w:val="32"/>
        </w:rPr>
      </w:pPr>
      <w:r w:rsidRPr="000E6DCE">
        <w:rPr>
          <w:rFonts w:ascii="方正楷体_GBK" w:eastAsia="方正楷体_GBK" w:hAnsi="Times New Roman" w:cs="方正楷体_GBK" w:hint="eastAsia"/>
          <w:kern w:val="0"/>
          <w:sz w:val="32"/>
          <w:szCs w:val="32"/>
        </w:rPr>
        <w:t>二是全覆盖信息查询功能让律师办案更“简易”</w:t>
      </w:r>
      <w:r w:rsidRPr="000E6DCE">
        <w:rPr>
          <w:rFonts w:ascii="方正仿宋_GBK" w:eastAsia="方正仿宋_GBK" w:hAnsi="Times New Roman" w:cs="方正仿宋_GBK" w:hint="eastAsia"/>
          <w:kern w:val="0"/>
          <w:sz w:val="32"/>
          <w:szCs w:val="32"/>
        </w:rPr>
        <w:t>。律师</w:t>
      </w:r>
      <w:r w:rsidRPr="000E6DCE">
        <w:rPr>
          <w:rFonts w:ascii="方正仿宋_GBK" w:eastAsia="方正仿宋_GBK" w:hAnsi="Times New Roman" w:cs="方正仿宋_GBK" w:hint="eastAsia"/>
          <w:spacing w:val="12"/>
          <w:kern w:val="0"/>
          <w:sz w:val="32"/>
          <w:szCs w:val="32"/>
        </w:rPr>
        <w:t>凭执业证号和登录密码可在升级后的律师服务平台查询经</w:t>
      </w:r>
      <w:r w:rsidRPr="000E6DCE">
        <w:rPr>
          <w:rFonts w:ascii="方正仿宋_GBK" w:eastAsia="方正仿宋_GBK" w:hAnsi="Times New Roman" w:cs="方正仿宋_GBK" w:hint="eastAsia"/>
          <w:kern w:val="0"/>
          <w:sz w:val="32"/>
          <w:szCs w:val="32"/>
        </w:rPr>
        <w:t>办案件详情，及时了解审判组织、审限状态、审理程序和结案情况等信息。通过查看“我的庭审”，</w:t>
      </w:r>
      <w:proofErr w:type="gramStart"/>
      <w:r w:rsidRPr="000E6DCE">
        <w:rPr>
          <w:rFonts w:ascii="方正仿宋_GBK" w:eastAsia="方正仿宋_GBK" w:hAnsi="Times New Roman" w:cs="方正仿宋_GBK" w:hint="eastAsia"/>
          <w:kern w:val="0"/>
          <w:sz w:val="32"/>
          <w:szCs w:val="32"/>
        </w:rPr>
        <w:t>律师可第一时间</w:t>
      </w:r>
      <w:proofErr w:type="gramEnd"/>
      <w:r w:rsidRPr="000E6DCE">
        <w:rPr>
          <w:rFonts w:ascii="方正仿宋_GBK" w:eastAsia="方正仿宋_GBK" w:hAnsi="Times New Roman" w:cs="方正仿宋_GBK" w:hint="eastAsia"/>
          <w:kern w:val="0"/>
          <w:sz w:val="32"/>
          <w:szCs w:val="32"/>
        </w:rPr>
        <w:t>掌</w:t>
      </w:r>
      <w:r w:rsidRPr="000E6DCE">
        <w:rPr>
          <w:rFonts w:ascii="方正仿宋_GBK" w:eastAsia="方正仿宋_GBK" w:hAnsi="Times New Roman" w:cs="方正仿宋_GBK" w:hint="eastAsia"/>
          <w:spacing w:val="-7"/>
          <w:kern w:val="0"/>
          <w:sz w:val="32"/>
          <w:szCs w:val="32"/>
        </w:rPr>
        <w:t>握开庭公告，知晓开庭时间、地点等信息。通过“我的文书”</w:t>
      </w:r>
      <w:r w:rsidRPr="000E6DCE">
        <w:rPr>
          <w:rFonts w:ascii="方正仿宋_GBK" w:eastAsia="方正仿宋_GBK" w:hAnsi="Times New Roman" w:cs="方正仿宋_GBK" w:hint="eastAsia"/>
          <w:kern w:val="0"/>
          <w:sz w:val="32"/>
          <w:szCs w:val="32"/>
        </w:rPr>
        <w:t>界面，结合法院电子送达功能，律师可在线签收、查阅法院裁判文书。通过“网上阅卷”申请，结合法院电子卷宗同步生成功能，律师还可以在办案过程中查阅案件卷宗。同时，平台还提供法律法规查询，让律师更加便捷、准确地适用法律，共同推进司法质量效率提升。</w:t>
      </w:r>
    </w:p>
    <w:p w:rsidR="00100763" w:rsidRPr="000E6DCE" w:rsidRDefault="00100763" w:rsidP="00100763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Chars="200" w:firstLine="640"/>
        <w:rPr>
          <w:rFonts w:ascii="方正仿宋_GBK" w:eastAsia="方正仿宋_GBK" w:hAnsi="Times New Roman" w:cs="方正仿宋_GBK"/>
          <w:kern w:val="0"/>
          <w:sz w:val="32"/>
          <w:szCs w:val="32"/>
        </w:rPr>
      </w:pPr>
      <w:r w:rsidRPr="000E6DCE">
        <w:rPr>
          <w:rFonts w:ascii="方正楷体_GBK" w:eastAsia="方正楷体_GBK" w:hAnsi="Times New Roman" w:cs="方正楷体_GBK" w:hint="eastAsia"/>
          <w:kern w:val="0"/>
          <w:sz w:val="32"/>
          <w:szCs w:val="32"/>
        </w:rPr>
        <w:t>三是全方位交流互动功能让律师法官沟通更“便捷”。</w:t>
      </w:r>
      <w:r w:rsidRPr="000E6DCE">
        <w:rPr>
          <w:rFonts w:ascii="方正仿宋_GBK" w:eastAsia="方正仿宋_GBK" w:hAnsi="Times New Roman" w:cs="方正仿宋_GBK" w:hint="eastAsia"/>
          <w:kern w:val="0"/>
          <w:sz w:val="32"/>
          <w:szCs w:val="32"/>
        </w:rPr>
        <w:t>升级后的平台设置“联系法官”功能，律师可通过该界面向承办法官提出咨询问题、代理意见和其他建议，法官及时通过回信、回电等方式加强与律师的沟通，双方的交流信息全</w:t>
      </w:r>
      <w:r w:rsidRPr="000E6DCE">
        <w:rPr>
          <w:rFonts w:ascii="方正仿宋_GBK" w:eastAsia="方正仿宋_GBK" w:hAnsi="Times New Roman" w:cs="方正仿宋_GBK" w:hint="eastAsia"/>
          <w:spacing w:val="-18"/>
          <w:kern w:val="0"/>
          <w:sz w:val="32"/>
          <w:szCs w:val="32"/>
        </w:rPr>
        <w:t>程留痕，形成规范化、常态化的沟通机制，更加利于构建“亲”</w:t>
      </w:r>
      <w:r w:rsidRPr="000E6DCE">
        <w:rPr>
          <w:rFonts w:ascii="方正仿宋_GBK" w:eastAsia="方正仿宋_GBK" w:hAnsi="Times New Roman" w:cs="方正仿宋_GBK" w:hint="eastAsia"/>
          <w:kern w:val="0"/>
          <w:sz w:val="32"/>
          <w:szCs w:val="32"/>
        </w:rPr>
        <w:t>“清”法官与律师新型关系。除动态的交流互动外，平台还为律师适时更</w:t>
      </w:r>
      <w:r w:rsidRPr="000E6DCE">
        <w:rPr>
          <w:rFonts w:ascii="方正仿宋_GBK" w:eastAsia="方正仿宋_GBK" w:hAnsi="Times New Roman" w:cs="方正仿宋_GBK" w:hint="eastAsia"/>
          <w:kern w:val="0"/>
          <w:sz w:val="32"/>
          <w:szCs w:val="32"/>
        </w:rPr>
        <w:lastRenderedPageBreak/>
        <w:t>新指导性案例、参考性案例，提供全市法院典型类案，通过案例的规则指引功能，让律师能够在平台中获取对案件办理更有价值的信息。同时，平台还提供传统的便民指引，提供多项诉讼服务链接，集合多种诉讼服务渠道，为律师和诉讼当事人提供全方位的诉讼服务。</w:t>
      </w:r>
    </w:p>
    <w:p w:rsidR="00100763" w:rsidRPr="000E6DCE" w:rsidRDefault="00100763" w:rsidP="00100763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Chars="200" w:firstLine="640"/>
        <w:rPr>
          <w:rFonts w:ascii="方正仿宋_GBK" w:eastAsia="方正仿宋_GBK" w:hAnsi="Times New Roman" w:cs="方正仿宋_GBK"/>
          <w:kern w:val="0"/>
          <w:sz w:val="32"/>
          <w:szCs w:val="32"/>
        </w:rPr>
      </w:pPr>
      <w:r w:rsidRPr="000E6DCE">
        <w:rPr>
          <w:rFonts w:ascii="方正仿宋_GBK" w:eastAsia="方正仿宋_GBK" w:hAnsi="Times New Roman" w:cs="方正仿宋_GBK" w:hint="eastAsia"/>
          <w:kern w:val="0"/>
          <w:sz w:val="32"/>
          <w:szCs w:val="32"/>
        </w:rPr>
        <w:t>下一步，重庆法院将继续以“用户体验”为导向，把应用推动放在优先位置，不断优化升级律师服务平台，让诉讼服务全流程更加智能、更加便捷、更加高效。</w:t>
      </w:r>
    </w:p>
    <w:p w:rsidR="009E7EE5" w:rsidRPr="00100763" w:rsidRDefault="009E7EE5" w:rsidP="00100763"/>
    <w:sectPr w:rsidR="009E7EE5" w:rsidRPr="00100763" w:rsidSect="00CB331C">
      <w:footerReference w:type="even" r:id="rId5"/>
      <w:footerReference w:type="default" r:id="rId6"/>
      <w:pgSz w:w="11910" w:h="16840"/>
      <w:pgMar w:top="1560" w:right="1680" w:bottom="1160" w:left="993" w:header="0" w:footer="971" w:gutter="0"/>
      <w:cols w:space="720" w:equalWidth="0">
        <w:col w:w="855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DCE" w:rsidRDefault="000E6DCE">
    <w:pPr>
      <w:pStyle w:val="a3"/>
      <w:kinsoku w:val="0"/>
      <w:overflowPunct w:val="0"/>
      <w:spacing w:line="14" w:lineRule="auto"/>
      <w:rPr>
        <w:rFonts w:ascii="Times New Roman" w:cs="Times New Roman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left:0;text-align:left;margin-left:89pt;margin-top:782.4pt;width:58.2pt;height:16.05pt;z-index:-251654144;mso-position-horizontal-relative:page;mso-position-vertical-relative:page" o:allowincell="f" filled="f" stroked="f">
          <v:textbox style="mso-next-textbox:#_x0000_s2055" inset="0,0,0,0">
            <w:txbxContent>
              <w:p w:rsidR="000E6DCE" w:rsidRDefault="000E6DCE">
                <w:pPr>
                  <w:pStyle w:val="a3"/>
                  <w:kinsoku w:val="0"/>
                  <w:overflowPunct w:val="0"/>
                  <w:spacing w:line="301" w:lineRule="exact"/>
                  <w:ind w:left="20"/>
                  <w:rPr>
                    <w:sz w:val="28"/>
                    <w:szCs w:val="28"/>
                  </w:rPr>
                </w:pPr>
                <w:r>
                  <w:rPr>
                    <w:rFonts w:hint="eastAsia"/>
                    <w:sz w:val="28"/>
                    <w:szCs w:val="28"/>
                  </w:rPr>
                  <w:t>—</w:t>
                </w:r>
                <w:r>
                  <w:rPr>
                    <w:spacing w:val="-1"/>
                    <w:sz w:val="28"/>
                    <w:szCs w:val="28"/>
                  </w:rPr>
                  <w:t xml:space="preserve"> </w:t>
                </w:r>
                <w:r>
                  <w:rPr>
                    <w:sz w:val="28"/>
                    <w:szCs w:val="28"/>
                  </w:rPr>
                  <w:fldChar w:fldCharType="begin"/>
                </w:r>
                <w:r>
                  <w:rPr>
                    <w:sz w:val="28"/>
                    <w:szCs w:val="28"/>
                  </w:rPr>
                  <w:instrText xml:space="preserve"> PAGE </w:instrText>
                </w:r>
                <w:r>
                  <w:rPr>
                    <w:sz w:val="28"/>
                    <w:szCs w:val="28"/>
                  </w:rPr>
                  <w:fldChar w:fldCharType="separate"/>
                </w:r>
                <w:r>
                  <w:rPr>
                    <w:noProof/>
                    <w:sz w:val="28"/>
                    <w:szCs w:val="28"/>
                  </w:rPr>
                  <w:t>54</w:t>
                </w:r>
                <w:r>
                  <w:rPr>
                    <w:sz w:val="28"/>
                    <w:szCs w:val="28"/>
                  </w:rPr>
                  <w:fldChar w:fldCharType="end"/>
                </w:r>
                <w:r>
                  <w:rPr>
                    <w:sz w:val="28"/>
                    <w:szCs w:val="28"/>
                  </w:rPr>
                  <w:t xml:space="preserve"> </w:t>
                </w:r>
                <w:r>
                  <w:rPr>
                    <w:rFonts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DCE" w:rsidRDefault="000E6DCE">
    <w:pPr>
      <w:pStyle w:val="a3"/>
      <w:kinsoku w:val="0"/>
      <w:overflowPunct w:val="0"/>
      <w:spacing w:line="14" w:lineRule="auto"/>
      <w:rPr>
        <w:rFonts w:ascii="Times New Roman" w:cs="Times New Roman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left:0;text-align:left;margin-left:448.35pt;margin-top:782.4pt;width:58.2pt;height:16.05pt;z-index:-251653120;mso-position-horizontal-relative:page;mso-position-vertical-relative:page" o:allowincell="f" filled="f" stroked="f">
          <v:textbox style="mso-next-textbox:#_x0000_s2056" inset="0,0,0,0">
            <w:txbxContent>
              <w:p w:rsidR="000E6DCE" w:rsidRDefault="000E6DCE">
                <w:pPr>
                  <w:pStyle w:val="a3"/>
                  <w:kinsoku w:val="0"/>
                  <w:overflowPunct w:val="0"/>
                  <w:spacing w:line="301" w:lineRule="exact"/>
                  <w:ind w:left="20"/>
                  <w:rPr>
                    <w:sz w:val="28"/>
                    <w:szCs w:val="28"/>
                  </w:rPr>
                </w:pPr>
                <w:r>
                  <w:rPr>
                    <w:rFonts w:hint="eastAsia"/>
                    <w:sz w:val="28"/>
                    <w:szCs w:val="28"/>
                  </w:rPr>
                  <w:t>—</w:t>
                </w:r>
                <w:r>
                  <w:rPr>
                    <w:spacing w:val="-1"/>
                    <w:sz w:val="28"/>
                    <w:szCs w:val="28"/>
                  </w:rPr>
                  <w:t xml:space="preserve"> </w:t>
                </w:r>
                <w:r>
                  <w:rPr>
                    <w:sz w:val="28"/>
                    <w:szCs w:val="28"/>
                  </w:rPr>
                  <w:fldChar w:fldCharType="begin"/>
                </w:r>
                <w:r>
                  <w:rPr>
                    <w:sz w:val="28"/>
                    <w:szCs w:val="28"/>
                  </w:rPr>
                  <w:instrText xml:space="preserve"> PAGE </w:instrText>
                </w:r>
                <w:r>
                  <w:rPr>
                    <w:sz w:val="28"/>
                    <w:szCs w:val="28"/>
                  </w:rPr>
                  <w:fldChar w:fldCharType="separate"/>
                </w:r>
                <w:r w:rsidR="00100763">
                  <w:rPr>
                    <w:noProof/>
                    <w:sz w:val="28"/>
                    <w:szCs w:val="28"/>
                  </w:rPr>
                  <w:t>1</w:t>
                </w:r>
                <w:r>
                  <w:rPr>
                    <w:sz w:val="28"/>
                    <w:szCs w:val="28"/>
                  </w:rPr>
                  <w:fldChar w:fldCharType="end"/>
                </w:r>
                <w:r>
                  <w:rPr>
                    <w:sz w:val="28"/>
                    <w:szCs w:val="28"/>
                  </w:rPr>
                  <w:t xml:space="preserve"> </w:t>
                </w:r>
                <w:r>
                  <w:rPr>
                    <w:rFonts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page" anchory="pag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0E6DCE"/>
    <w:rsid w:val="000E6DCE"/>
    <w:rsid w:val="00100763"/>
    <w:rsid w:val="006A3CE9"/>
    <w:rsid w:val="008B201B"/>
    <w:rsid w:val="009E7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semiHidden/>
    <w:unhideWhenUsed/>
    <w:rsid w:val="000E6DCE"/>
    <w:pPr>
      <w:spacing w:after="120"/>
    </w:pPr>
  </w:style>
  <w:style w:type="character" w:customStyle="1" w:styleId="Char">
    <w:name w:val="正文文本 Char"/>
    <w:basedOn w:val="a0"/>
    <w:link w:val="a3"/>
    <w:uiPriority w:val="99"/>
    <w:semiHidden/>
    <w:rsid w:val="000E6DCE"/>
  </w:style>
  <w:style w:type="paragraph" w:styleId="a4">
    <w:name w:val="Balloon Text"/>
    <w:basedOn w:val="a"/>
    <w:link w:val="Char0"/>
    <w:uiPriority w:val="99"/>
    <w:semiHidden/>
    <w:unhideWhenUsed/>
    <w:rsid w:val="000E6DCE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0E6DC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yperlink" Target="http://www.cqfygzfw.com/ls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2020-01-13T02:35:00Z</dcterms:created>
  <dcterms:modified xsi:type="dcterms:W3CDTF">2020-01-13T02:36:00Z</dcterms:modified>
</cp:coreProperties>
</file>